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484EB72" w14:textId="77777777" w:rsidR="00DA6B6E" w:rsidRDefault="00A26E78">
      <w:pPr>
        <w:pBdr>
          <w:bottom w:val="single" w:sz="8" w:space="2" w:color="ED008C"/>
        </w:pBdr>
        <w:shd w:val="clear" w:color="auto" w:fill="0A5F8A"/>
        <w:rPr>
          <w:color w:val="FFFFFF"/>
        </w:rPr>
      </w:pPr>
      <w:r>
        <w:rPr>
          <w:b/>
          <w:bCs/>
          <w:color w:val="FFFFFF"/>
          <w:sz w:val="52"/>
          <w:szCs w:val="52"/>
        </w:rPr>
        <w:t xml:space="preserve"> </w:t>
      </w:r>
      <w:r>
        <w:rPr>
          <w:b/>
          <w:bCs/>
          <w:color w:val="FFFFFF"/>
          <w:sz w:val="52"/>
          <w:szCs w:val="52"/>
        </w:rPr>
        <w:t>F3</w:t>
      </w:r>
      <w:r>
        <w:rPr>
          <w:b/>
          <w:bCs/>
          <w:color w:val="FFFFFF"/>
          <w:sz w:val="28"/>
          <w:szCs w:val="28"/>
        </w:rPr>
        <w:t xml:space="preserve"> Do No Harm and Non-Discrimination Statement</w:t>
      </w:r>
    </w:p>
    <w:p w14:paraId="5484EB73" w14:textId="77777777" w:rsidR="00DA6B6E" w:rsidRDefault="00A26E78">
      <w:pPr>
        <w:shd w:val="clear" w:color="auto" w:fill="0A5F8A"/>
        <w:spacing w:after="200"/>
      </w:pPr>
      <w:r>
        <w:rPr>
          <w:i/>
          <w:iCs/>
          <w:color w:val="B3D9F7"/>
          <w:sz w:val="18"/>
          <w:szCs w:val="18"/>
        </w:rPr>
        <w:t xml:space="preserve">  </w:t>
      </w:r>
      <w:r>
        <w:rPr>
          <w:i/>
          <w:iCs/>
          <w:color w:val="B3D9F7"/>
          <w:sz w:val="18"/>
          <w:szCs w:val="18"/>
        </w:rPr>
        <w:t>Our commitment to safe, equitable and respectful practice</w:t>
      </w:r>
    </w:p>
    <w:p w14:paraId="5484EB74" w14:textId="77777777" w:rsidR="00DA6B6E" w:rsidRDefault="00DA6B6E">
      <w:pPr>
        <w:spacing w:after="80"/>
      </w:pPr>
    </w:p>
    <w:tbl>
      <w:tblPr>
        <w:tblStyle w:val="a"/>
        <w:tblW w:w="9026" w:type="dxa"/>
        <w:tblInd w:w="0" w:type="dxa"/>
        <w:tblBorders>
          <w:top w:val="single" w:sz="4" w:space="0" w:color="1291D1"/>
          <w:left w:val="single" w:sz="4" w:space="0" w:color="1291D1"/>
          <w:bottom w:val="single" w:sz="4" w:space="0" w:color="1291D1"/>
          <w:right w:val="single" w:sz="4" w:space="0" w:color="1291D1"/>
          <w:insideH w:val="single" w:sz="4" w:space="0" w:color="1291D1"/>
          <w:insideV w:val="single" w:sz="4" w:space="0" w:color="1291D1"/>
        </w:tblBorders>
        <w:tblLayout w:type="fixed"/>
        <w:tblLook w:val="0000" w:firstRow="0" w:lastRow="0" w:firstColumn="0" w:lastColumn="0" w:noHBand="0" w:noVBand="0"/>
      </w:tblPr>
      <w:tblGrid>
        <w:gridCol w:w="3000"/>
        <w:gridCol w:w="6026"/>
      </w:tblGrid>
      <w:tr w:rsidR="00DA6B6E" w14:paraId="5484EB77" w14:textId="77777777">
        <w:tc>
          <w:tcPr>
            <w:tcW w:w="3000" w:type="dxa"/>
            <w:shd w:val="clear" w:color="auto" w:fill="EBF6FC"/>
            <w:tcMar>
              <w:top w:w="60" w:type="dxa"/>
              <w:left w:w="120" w:type="dxa"/>
              <w:bottom w:w="60" w:type="dxa"/>
              <w:right w:w="120" w:type="dxa"/>
            </w:tcMar>
          </w:tcPr>
          <w:p w14:paraId="5484EB75" w14:textId="77777777" w:rsidR="00DA6B6E" w:rsidRDefault="00A26E78">
            <w:pPr>
              <w:spacing w:after="40"/>
            </w:pPr>
            <w:r>
              <w:t>Organisation</w:t>
            </w:r>
          </w:p>
        </w:tc>
        <w:tc>
          <w:tcPr>
            <w:tcW w:w="6026" w:type="dxa"/>
            <w:shd w:val="clear" w:color="auto" w:fill="FFFFFF"/>
            <w:tcMar>
              <w:top w:w="60" w:type="dxa"/>
              <w:left w:w="120" w:type="dxa"/>
              <w:bottom w:w="60" w:type="dxa"/>
              <w:right w:w="120" w:type="dxa"/>
            </w:tcMar>
          </w:tcPr>
          <w:p w14:paraId="5484EB76" w14:textId="77777777" w:rsidR="00DA6B6E" w:rsidRDefault="00A26E78">
            <w:pPr>
              <w:spacing w:after="40"/>
            </w:pPr>
            <w:r>
              <w:t>[Insert]</w:t>
            </w:r>
          </w:p>
        </w:tc>
      </w:tr>
      <w:tr w:rsidR="00DA6B6E" w14:paraId="5484EB7A" w14:textId="77777777">
        <w:tc>
          <w:tcPr>
            <w:tcW w:w="3000" w:type="dxa"/>
            <w:shd w:val="clear" w:color="auto" w:fill="EBF6FC"/>
            <w:tcMar>
              <w:top w:w="60" w:type="dxa"/>
              <w:left w:w="120" w:type="dxa"/>
              <w:bottom w:w="60" w:type="dxa"/>
              <w:right w:w="120" w:type="dxa"/>
            </w:tcMar>
          </w:tcPr>
          <w:p w14:paraId="5484EB78" w14:textId="77777777" w:rsidR="00DA6B6E" w:rsidRDefault="00A26E78">
            <w:pPr>
              <w:spacing w:after="40"/>
            </w:pPr>
            <w:r>
              <w:t>Applies to</w:t>
            </w:r>
          </w:p>
        </w:tc>
        <w:tc>
          <w:tcPr>
            <w:tcW w:w="6026" w:type="dxa"/>
            <w:shd w:val="clear" w:color="auto" w:fill="FFFFFF"/>
            <w:tcMar>
              <w:top w:w="60" w:type="dxa"/>
              <w:left w:w="120" w:type="dxa"/>
              <w:bottom w:w="60" w:type="dxa"/>
              <w:right w:w="120" w:type="dxa"/>
            </w:tcMar>
          </w:tcPr>
          <w:p w14:paraId="5484EB79" w14:textId="77777777" w:rsidR="00DA6B6E" w:rsidRDefault="00A26E78">
            <w:pPr>
              <w:spacing w:after="40"/>
            </w:pPr>
            <w:r>
              <w:t>All staff, volunteers, trustees, mentors, trainers, contractors and partners.</w:t>
            </w:r>
          </w:p>
        </w:tc>
      </w:tr>
      <w:tr w:rsidR="00DA6B6E" w14:paraId="5484EB7D" w14:textId="77777777">
        <w:tc>
          <w:tcPr>
            <w:tcW w:w="3000" w:type="dxa"/>
            <w:shd w:val="clear" w:color="auto" w:fill="EBF6FC"/>
            <w:tcMar>
              <w:top w:w="60" w:type="dxa"/>
              <w:left w:w="120" w:type="dxa"/>
              <w:bottom w:w="60" w:type="dxa"/>
              <w:right w:w="120" w:type="dxa"/>
            </w:tcMar>
          </w:tcPr>
          <w:p w14:paraId="5484EB7B" w14:textId="77777777" w:rsidR="00DA6B6E" w:rsidRDefault="00A26E78">
            <w:pPr>
              <w:spacing w:after="40"/>
            </w:pPr>
            <w:r>
              <w:t>Effective date</w:t>
            </w:r>
          </w:p>
        </w:tc>
        <w:tc>
          <w:tcPr>
            <w:tcW w:w="6026" w:type="dxa"/>
            <w:shd w:val="clear" w:color="auto" w:fill="FFFFFF"/>
            <w:tcMar>
              <w:top w:w="60" w:type="dxa"/>
              <w:left w:w="120" w:type="dxa"/>
              <w:bottom w:w="60" w:type="dxa"/>
              <w:right w:w="120" w:type="dxa"/>
            </w:tcMar>
          </w:tcPr>
          <w:p w14:paraId="5484EB7C" w14:textId="77777777" w:rsidR="00DA6B6E" w:rsidRDefault="00A26E78">
            <w:pPr>
              <w:spacing w:after="40"/>
            </w:pPr>
            <w:r>
              <w:t>[Insert date]</w:t>
            </w:r>
          </w:p>
        </w:tc>
      </w:tr>
      <w:tr w:rsidR="00DA6B6E" w14:paraId="5484EB80" w14:textId="77777777">
        <w:tc>
          <w:tcPr>
            <w:tcW w:w="3000" w:type="dxa"/>
            <w:shd w:val="clear" w:color="auto" w:fill="EBF6FC"/>
            <w:tcMar>
              <w:top w:w="60" w:type="dxa"/>
              <w:left w:w="120" w:type="dxa"/>
              <w:bottom w:w="60" w:type="dxa"/>
              <w:right w:w="120" w:type="dxa"/>
            </w:tcMar>
          </w:tcPr>
          <w:p w14:paraId="5484EB7E" w14:textId="77777777" w:rsidR="00DA6B6E" w:rsidRDefault="00A26E78">
            <w:pPr>
              <w:spacing w:after="40"/>
            </w:pPr>
            <w:r>
              <w:t>Review date</w:t>
            </w:r>
          </w:p>
        </w:tc>
        <w:tc>
          <w:tcPr>
            <w:tcW w:w="6026" w:type="dxa"/>
            <w:shd w:val="clear" w:color="auto" w:fill="FFFFFF"/>
            <w:tcMar>
              <w:top w:w="60" w:type="dxa"/>
              <w:left w:w="120" w:type="dxa"/>
              <w:bottom w:w="60" w:type="dxa"/>
              <w:right w:w="120" w:type="dxa"/>
            </w:tcMar>
          </w:tcPr>
          <w:p w14:paraId="5484EB7F" w14:textId="77777777" w:rsidR="00DA6B6E" w:rsidRDefault="00A26E78">
            <w:pPr>
              <w:spacing w:after="40"/>
            </w:pPr>
            <w:r>
              <w:t>[Insert date]</w:t>
            </w:r>
          </w:p>
        </w:tc>
      </w:tr>
    </w:tbl>
    <w:p w14:paraId="5484EB81" w14:textId="77777777" w:rsidR="00DA6B6E" w:rsidRDefault="00DA6B6E">
      <w:pPr>
        <w:pBdr>
          <w:bottom w:val="single" w:sz="6" w:space="4" w:color="1291D1"/>
        </w:pBdr>
        <w:spacing w:after="160"/>
      </w:pPr>
    </w:p>
    <w:p w14:paraId="5484EB82" w14:textId="77777777" w:rsidR="00DA6B6E" w:rsidRDefault="00A26E78">
      <w:pPr>
        <w:spacing w:after="80"/>
      </w:pPr>
      <w:r>
        <w:rPr>
          <w:b/>
          <w:bCs/>
          <w:color w:val="0A5F8A"/>
          <w:sz w:val="26"/>
          <w:szCs w:val="26"/>
        </w:rPr>
        <w:t>1. Our Commitment</w:t>
      </w:r>
    </w:p>
    <w:p w14:paraId="5484EB83" w14:textId="77777777" w:rsidR="00DA6B6E" w:rsidRDefault="00A26E78">
      <w:pPr>
        <w:spacing w:after="60"/>
      </w:pPr>
      <w:r>
        <w:t>[Organisation name] is committed to the principle of "Do No Harm" in all our activities. This means we design, deliver and evaluate our work to minimise the risk of unintentional harm to participants, staff, volunteers, communities and the environment. Do No Harm is not only a response to problems that arise — it is an approach to how we plan and act from the very beginning.</w:t>
      </w:r>
    </w:p>
    <w:p w14:paraId="5484EB84" w14:textId="77777777" w:rsidR="00DA6B6E" w:rsidRDefault="00DA6B6E">
      <w:pPr>
        <w:pBdr>
          <w:bottom w:val="single" w:sz="6" w:space="4" w:color="1291D1"/>
        </w:pBdr>
        <w:spacing w:after="160"/>
      </w:pPr>
    </w:p>
    <w:p w14:paraId="5484EB85" w14:textId="77777777" w:rsidR="00DA6B6E" w:rsidRDefault="00A26E78">
      <w:pPr>
        <w:spacing w:after="80"/>
      </w:pPr>
      <w:r>
        <w:rPr>
          <w:b/>
          <w:bCs/>
          <w:color w:val="0A5F8A"/>
          <w:sz w:val="26"/>
          <w:szCs w:val="26"/>
        </w:rPr>
        <w:t>2. Non-Discrimination</w:t>
      </w:r>
    </w:p>
    <w:p w14:paraId="5484EB86" w14:textId="77777777" w:rsidR="00DA6B6E" w:rsidRDefault="00A26E78">
      <w:pPr>
        <w:spacing w:after="60"/>
      </w:pPr>
      <w:r>
        <w:t>We commit to treating every person with equal dignity and fairness, regardless of: age; gender; gender identity or expression; sexual orientation; race, ethnicity or national origin; disability; religion or belief; socioeconomic background; family situation; language; or any other characteristic.</w:t>
      </w:r>
    </w:p>
    <w:p w14:paraId="5484EB87" w14:textId="77777777" w:rsidR="00DA6B6E" w:rsidRDefault="00A26E78">
      <w:pPr>
        <w:spacing w:after="60"/>
      </w:pPr>
      <w:r>
        <w:t>We do not tolerate discrimination, harassment, bullying or any form of abuse. Cultural context informs how we communicate and offer support — it never lowers the standard of care or justifies harm.</w:t>
      </w:r>
    </w:p>
    <w:p w14:paraId="5484EB88" w14:textId="77777777" w:rsidR="00DA6B6E" w:rsidRDefault="00DA6B6E">
      <w:pPr>
        <w:pBdr>
          <w:bottom w:val="single" w:sz="6" w:space="4" w:color="1291D1"/>
        </w:pBdr>
        <w:spacing w:after="160"/>
      </w:pPr>
    </w:p>
    <w:p w14:paraId="5484EB89" w14:textId="77777777" w:rsidR="00DA6B6E" w:rsidRDefault="00A26E78">
      <w:pPr>
        <w:spacing w:after="80"/>
      </w:pPr>
      <w:r>
        <w:rPr>
          <w:b/>
          <w:bCs/>
          <w:color w:val="0A5F8A"/>
          <w:sz w:val="26"/>
          <w:szCs w:val="26"/>
        </w:rPr>
        <w:t>3. Our Standards in Practice</w:t>
      </w:r>
    </w:p>
    <w:p w14:paraId="5484EB8A" w14:textId="77777777" w:rsidR="00DA6B6E" w:rsidRDefault="00A26E78">
      <w:pPr>
        <w:numPr>
          <w:ilvl w:val="0"/>
          <w:numId w:val="1"/>
        </w:numPr>
      </w:pPr>
      <w:r>
        <w:t>We assess potential harms before every project begins, using the risk assessment tools in R0 and R1.</w:t>
      </w:r>
    </w:p>
    <w:p w14:paraId="5484EB8B" w14:textId="77777777" w:rsidR="00DA6B6E" w:rsidRDefault="00A26E78">
      <w:pPr>
        <w:numPr>
          <w:ilvl w:val="0"/>
          <w:numId w:val="1"/>
        </w:numPr>
      </w:pPr>
      <w:r>
        <w:t>We engage participants as rights-holders — people with rights we are obligated to respect, not passive recipients.</w:t>
      </w:r>
    </w:p>
    <w:p w14:paraId="5484EB8C" w14:textId="77777777" w:rsidR="00DA6B6E" w:rsidRDefault="00A26E78">
      <w:pPr>
        <w:numPr>
          <w:ilvl w:val="0"/>
          <w:numId w:val="1"/>
        </w:numPr>
      </w:pPr>
      <w:r>
        <w:t>We do not impose our values or cultural norms on participants or communities we work with.</w:t>
      </w:r>
    </w:p>
    <w:p w14:paraId="5484EB8D" w14:textId="77777777" w:rsidR="00DA6B6E" w:rsidRDefault="00A26E78">
      <w:pPr>
        <w:numPr>
          <w:ilvl w:val="0"/>
          <w:numId w:val="1"/>
        </w:numPr>
      </w:pPr>
      <w:r>
        <w:t>We listen to feedback from participants and act on it.</w:t>
      </w:r>
    </w:p>
    <w:p w14:paraId="5484EB8E" w14:textId="77777777" w:rsidR="00DA6B6E" w:rsidRDefault="00A26E78">
      <w:pPr>
        <w:numPr>
          <w:ilvl w:val="0"/>
          <w:numId w:val="1"/>
        </w:numPr>
      </w:pPr>
      <w:r>
        <w:t>We recognise power dynamics and actively work to prevent their exploitation.</w:t>
      </w:r>
    </w:p>
    <w:p w14:paraId="5484EB8F" w14:textId="77777777" w:rsidR="00DA6B6E" w:rsidRDefault="00A26E78">
      <w:pPr>
        <w:numPr>
          <w:ilvl w:val="0"/>
          <w:numId w:val="1"/>
        </w:numPr>
        <w:spacing w:after="40"/>
      </w:pPr>
      <w:r>
        <w:t>We are accountable not only when things go wrong, but as an ongoing practice — through risk management, safeguarding readiness, and regular review. Being accountable means taking active steps to prevent harm before it occurs, not only responding when it does.</w:t>
      </w:r>
    </w:p>
    <w:p w14:paraId="5484EB90" w14:textId="77777777" w:rsidR="00DA6B6E" w:rsidRDefault="00DA6B6E">
      <w:pPr>
        <w:spacing w:after="80"/>
      </w:pPr>
    </w:p>
    <w:p w14:paraId="5484EB91" w14:textId="77777777" w:rsidR="00DA6B6E" w:rsidRDefault="00DA6B6E">
      <w:pPr>
        <w:spacing w:after="80"/>
      </w:pPr>
    </w:p>
    <w:p w14:paraId="5484EB92" w14:textId="77777777" w:rsidR="00DA6B6E" w:rsidRDefault="00DA6B6E">
      <w:pPr>
        <w:spacing w:after="80"/>
      </w:pPr>
    </w:p>
    <w:p w14:paraId="5484EB93" w14:textId="77777777" w:rsidR="00DA6B6E" w:rsidRDefault="00A26E78">
      <w:pPr>
        <w:spacing w:after="80"/>
      </w:pPr>
      <w:r>
        <w:rPr>
          <w:b/>
          <w:bCs/>
          <w:color w:val="0A5F8A"/>
          <w:sz w:val="26"/>
          <w:szCs w:val="26"/>
        </w:rPr>
        <w:lastRenderedPageBreak/>
        <w:t>4. Speaking Up</w:t>
      </w:r>
    </w:p>
    <w:p w14:paraId="5484EB94" w14:textId="77777777" w:rsidR="00DA6B6E" w:rsidRDefault="00A26E78">
      <w:pPr>
        <w:spacing w:after="60"/>
      </w:pPr>
      <w:r>
        <w:t>If you witness, experience or suspect discrimination, harm or a breach of this statement, you are encouraged and expected to speak up. Speaking up is not disloyalty. It is what our commitment to do no harm requires.</w:t>
      </w:r>
    </w:p>
    <w:p w14:paraId="5484EB95" w14:textId="77777777" w:rsidR="00DA6B6E" w:rsidRDefault="00A26E78">
      <w:pPr>
        <w:spacing w:after="60"/>
      </w:pPr>
      <w:r>
        <w:t>To raise a concern formally, follow the reporting procedure in I2 (Safeguarding Reporting System). In an emergency, call the DSL directly: [Insert name and contact] or call 112 (EU) / 999 (UK). Anonymous reporting is available at [Insert link].</w:t>
      </w:r>
    </w:p>
    <w:p w14:paraId="5484EB96" w14:textId="77777777" w:rsidR="00DA6B6E" w:rsidRDefault="00A26E78">
      <w:pPr>
        <w:spacing w:after="60"/>
      </w:pPr>
      <w:r>
        <w:t>If the concern involves the DSL, contact the Alternate DSL or external backup: [Insert name and contact].</w:t>
      </w:r>
    </w:p>
    <w:p w14:paraId="5484EB97" w14:textId="77777777" w:rsidR="00DA6B6E" w:rsidRDefault="00DA6B6E">
      <w:pPr>
        <w:pBdr>
          <w:bottom w:val="single" w:sz="6" w:space="4" w:color="1291D1"/>
        </w:pBdr>
        <w:spacing w:after="160"/>
      </w:pPr>
    </w:p>
    <w:p w14:paraId="5484EB98" w14:textId="77777777" w:rsidR="00DA6B6E" w:rsidRDefault="00A26E78">
      <w:pPr>
        <w:spacing w:after="80"/>
      </w:pPr>
      <w:r>
        <w:rPr>
          <w:b/>
          <w:bCs/>
          <w:color w:val="0A5F8A"/>
          <w:sz w:val="26"/>
          <w:szCs w:val="26"/>
        </w:rPr>
        <w:t>5. Complaints</w:t>
      </w:r>
    </w:p>
    <w:p w14:paraId="5484EB99" w14:textId="77777777" w:rsidR="00DA6B6E" w:rsidRDefault="00A26E78">
      <w:pPr>
        <w:spacing w:after="60"/>
      </w:pPr>
      <w:r>
        <w:t>If you have a complaint about how you have been treated or about how a safeguarding concern was handled, follow the complaints procedure in I2 (Safeguarding Reporting System), Section [X]. You may also contact [Organisation name]'s [designated complaints lead / board chair] at [contact details].</w:t>
      </w:r>
    </w:p>
    <w:p w14:paraId="5484EB9A" w14:textId="77777777" w:rsidR="00DA6B6E" w:rsidRDefault="00A26E78">
      <w:pPr>
        <w:spacing w:after="60"/>
      </w:pPr>
      <w:r>
        <w:t>Complaints are handled separately from safeguarding investigations. Raising a complaint does not affect a safeguarding process and vice versa.</w:t>
      </w:r>
    </w:p>
    <w:p w14:paraId="5484EB9B" w14:textId="77777777" w:rsidR="00DA6B6E" w:rsidRDefault="00DA6B6E">
      <w:pPr>
        <w:pBdr>
          <w:bottom w:val="single" w:sz="6" w:space="4" w:color="1291D1"/>
        </w:pBdr>
        <w:spacing w:after="160"/>
      </w:pPr>
    </w:p>
    <w:p w14:paraId="5484EB9C" w14:textId="77777777" w:rsidR="00DA6B6E" w:rsidRDefault="00A26E78">
      <w:pPr>
        <w:spacing w:after="80"/>
      </w:pPr>
      <w:r>
        <w:rPr>
          <w:b/>
          <w:bCs/>
          <w:color w:val="0A5F8A"/>
          <w:sz w:val="26"/>
          <w:szCs w:val="26"/>
        </w:rPr>
        <w:t>6. Review</w:t>
      </w:r>
    </w:p>
    <w:p w14:paraId="5484EB9D" w14:textId="77777777" w:rsidR="00DA6B6E" w:rsidRDefault="00A26E78">
      <w:pPr>
        <w:spacing w:after="60"/>
      </w:pPr>
      <w:r>
        <w:t>This statement is reviewed annually as part of the safeguarding self-assessment (O4). We welcome feedback from participants, staff, volunteers and partners on whether we are meeting our commitments.</w:t>
      </w:r>
    </w:p>
    <w:p w14:paraId="5484EB9E" w14:textId="77777777" w:rsidR="00DA6B6E" w:rsidRDefault="00DA6B6E">
      <w:pPr>
        <w:spacing w:after="40"/>
      </w:pPr>
    </w:p>
    <w:tbl>
      <w:tblPr>
        <w:tblStyle w:val="a0"/>
        <w:tblW w:w="9026" w:type="dxa"/>
        <w:tblInd w:w="0" w:type="dxa"/>
        <w:tblBorders>
          <w:top w:val="single" w:sz="4" w:space="0" w:color="1291D1"/>
          <w:left w:val="single" w:sz="8" w:space="0" w:color="1291D1"/>
          <w:bottom w:val="single" w:sz="4" w:space="0" w:color="1291D1"/>
          <w:right w:val="single" w:sz="4" w:space="0" w:color="1291D1"/>
        </w:tblBorders>
        <w:tblLayout w:type="fixed"/>
        <w:tblLook w:val="0000" w:firstRow="0" w:lastRow="0" w:firstColumn="0" w:lastColumn="0" w:noHBand="0" w:noVBand="0"/>
      </w:tblPr>
      <w:tblGrid>
        <w:gridCol w:w="9026"/>
      </w:tblGrid>
      <w:tr w:rsidR="00DA6B6E" w14:paraId="5484EBA2" w14:textId="77777777">
        <w:tc>
          <w:tcPr>
            <w:tcW w:w="9026" w:type="dxa"/>
            <w:shd w:val="clear" w:color="auto" w:fill="EBF6FC"/>
            <w:tcMar>
              <w:top w:w="100" w:type="dxa"/>
              <w:left w:w="180" w:type="dxa"/>
              <w:bottom w:w="100" w:type="dxa"/>
              <w:right w:w="180" w:type="dxa"/>
            </w:tcMar>
          </w:tcPr>
          <w:p w14:paraId="5484EB9F" w14:textId="77777777" w:rsidR="00DA6B6E" w:rsidRDefault="00A26E78">
            <w:pPr>
              <w:spacing w:after="40"/>
            </w:pPr>
            <w:r>
              <w:rPr>
                <w:b/>
                <w:bCs/>
                <w:color w:val="0A5F8A"/>
              </w:rPr>
              <w:t>References</w:t>
            </w:r>
          </w:p>
          <w:p w14:paraId="5484EBA0" w14:textId="77777777" w:rsidR="00DA6B6E" w:rsidRDefault="00A26E78">
            <w:r>
              <w:t>F0 Safeguarding Policy Framework Section B (Scope), Section C (Legal Context). F1 Safeguarding Policy. I2 Safeguarding Reporting System. O4 Annual Self-Assessment and Review.</w:t>
            </w:r>
          </w:p>
          <w:p w14:paraId="5484EBA1" w14:textId="77777777" w:rsidR="00DA6B6E" w:rsidRDefault="00A26E78">
            <w:r>
              <w:t>Glossary of Key Terms (Safe Spaces) — for definitions of all bolded terms in this document.</w:t>
            </w:r>
          </w:p>
        </w:tc>
      </w:tr>
    </w:tbl>
    <w:p w14:paraId="5484EBA3" w14:textId="77777777" w:rsidR="00DA6B6E" w:rsidRDefault="00DA6B6E">
      <w:pPr>
        <w:widowControl w:val="0"/>
        <w:pBdr>
          <w:top w:val="nil"/>
          <w:left w:val="nil"/>
          <w:bottom w:val="nil"/>
          <w:right w:val="nil"/>
          <w:between w:val="nil"/>
        </w:pBdr>
        <w:spacing w:line="276" w:lineRule="auto"/>
      </w:pPr>
    </w:p>
    <w:p w14:paraId="5484EBA4" w14:textId="77777777" w:rsidR="00DA6B6E" w:rsidRDefault="00DA6B6E">
      <w:pPr>
        <w:widowControl w:val="0"/>
        <w:pBdr>
          <w:top w:val="nil"/>
          <w:left w:val="nil"/>
          <w:bottom w:val="nil"/>
          <w:right w:val="nil"/>
          <w:between w:val="nil"/>
        </w:pBdr>
        <w:spacing w:line="276" w:lineRule="auto"/>
      </w:pPr>
    </w:p>
    <w:p w14:paraId="5484EBA5" w14:textId="77777777" w:rsidR="00DA6B6E" w:rsidRDefault="00DA6B6E">
      <w:pPr>
        <w:widowControl w:val="0"/>
        <w:pBdr>
          <w:top w:val="nil"/>
          <w:left w:val="nil"/>
          <w:bottom w:val="nil"/>
          <w:right w:val="nil"/>
          <w:between w:val="nil"/>
        </w:pBdr>
        <w:spacing w:line="276" w:lineRule="auto"/>
      </w:pPr>
    </w:p>
    <w:p w14:paraId="5484EBA6" w14:textId="77777777" w:rsidR="00DA6B6E" w:rsidRDefault="00DA6B6E">
      <w:pPr>
        <w:widowControl w:val="0"/>
        <w:pBdr>
          <w:top w:val="nil"/>
          <w:left w:val="nil"/>
          <w:bottom w:val="nil"/>
          <w:right w:val="nil"/>
          <w:between w:val="nil"/>
        </w:pBdr>
        <w:spacing w:line="276" w:lineRule="auto"/>
      </w:pPr>
    </w:p>
    <w:p w14:paraId="5484EBA7" w14:textId="77777777" w:rsidR="00DA6B6E" w:rsidRDefault="00DA6B6E">
      <w:pPr>
        <w:widowControl w:val="0"/>
        <w:pBdr>
          <w:top w:val="nil"/>
          <w:left w:val="nil"/>
          <w:bottom w:val="nil"/>
          <w:right w:val="nil"/>
          <w:between w:val="nil"/>
        </w:pBdr>
        <w:spacing w:line="276" w:lineRule="auto"/>
      </w:pPr>
    </w:p>
    <w:p w14:paraId="5484EBA8" w14:textId="77777777" w:rsidR="00DA6B6E" w:rsidRDefault="00DA6B6E">
      <w:pPr>
        <w:widowControl w:val="0"/>
        <w:pBdr>
          <w:top w:val="nil"/>
          <w:left w:val="nil"/>
          <w:bottom w:val="nil"/>
          <w:right w:val="nil"/>
          <w:between w:val="nil"/>
        </w:pBdr>
        <w:spacing w:line="276" w:lineRule="auto"/>
      </w:pPr>
    </w:p>
    <w:p w14:paraId="5484EBA9" w14:textId="77777777" w:rsidR="00DA6B6E" w:rsidRDefault="00DA6B6E">
      <w:pPr>
        <w:widowControl w:val="0"/>
        <w:pBdr>
          <w:top w:val="nil"/>
          <w:left w:val="nil"/>
          <w:bottom w:val="nil"/>
          <w:right w:val="nil"/>
          <w:between w:val="nil"/>
        </w:pBdr>
        <w:spacing w:line="276" w:lineRule="auto"/>
      </w:pPr>
    </w:p>
    <w:p w14:paraId="5484EBAA" w14:textId="77777777" w:rsidR="00DA6B6E" w:rsidRDefault="00DA6B6E">
      <w:pPr>
        <w:widowControl w:val="0"/>
        <w:pBdr>
          <w:top w:val="nil"/>
          <w:left w:val="nil"/>
          <w:bottom w:val="nil"/>
          <w:right w:val="nil"/>
          <w:between w:val="nil"/>
        </w:pBdr>
        <w:spacing w:line="276" w:lineRule="auto"/>
      </w:pPr>
    </w:p>
    <w:p w14:paraId="5484EBAB" w14:textId="77777777" w:rsidR="00DA6B6E" w:rsidRDefault="00DA6B6E">
      <w:pPr>
        <w:widowControl w:val="0"/>
        <w:pBdr>
          <w:top w:val="nil"/>
          <w:left w:val="nil"/>
          <w:bottom w:val="nil"/>
          <w:right w:val="nil"/>
          <w:between w:val="nil"/>
        </w:pBdr>
        <w:spacing w:line="276" w:lineRule="auto"/>
      </w:pPr>
    </w:p>
    <w:p w14:paraId="5484EBAC" w14:textId="77777777" w:rsidR="00DA6B6E" w:rsidRDefault="00DA6B6E">
      <w:pPr>
        <w:widowControl w:val="0"/>
        <w:pBdr>
          <w:top w:val="nil"/>
          <w:left w:val="nil"/>
          <w:bottom w:val="nil"/>
          <w:right w:val="nil"/>
          <w:between w:val="nil"/>
        </w:pBdr>
        <w:spacing w:line="276" w:lineRule="auto"/>
      </w:pPr>
    </w:p>
    <w:p w14:paraId="5484EBAD" w14:textId="77777777" w:rsidR="00DA6B6E" w:rsidRDefault="00DA6B6E">
      <w:pPr>
        <w:widowControl w:val="0"/>
        <w:pBdr>
          <w:top w:val="nil"/>
          <w:left w:val="nil"/>
          <w:bottom w:val="nil"/>
          <w:right w:val="nil"/>
          <w:between w:val="nil"/>
        </w:pBdr>
        <w:spacing w:line="276" w:lineRule="auto"/>
      </w:pPr>
    </w:p>
    <w:p w14:paraId="5484EBAE" w14:textId="77777777" w:rsidR="00DA6B6E" w:rsidRDefault="00DA6B6E">
      <w:pPr>
        <w:widowControl w:val="0"/>
        <w:pBdr>
          <w:top w:val="nil"/>
          <w:left w:val="nil"/>
          <w:bottom w:val="nil"/>
          <w:right w:val="nil"/>
          <w:between w:val="nil"/>
        </w:pBdr>
        <w:spacing w:line="276" w:lineRule="auto"/>
      </w:pPr>
    </w:p>
    <w:p w14:paraId="5484EBAF" w14:textId="77777777" w:rsidR="00DA6B6E" w:rsidRDefault="00DA6B6E">
      <w:pPr>
        <w:widowControl w:val="0"/>
        <w:pBdr>
          <w:top w:val="nil"/>
          <w:left w:val="nil"/>
          <w:bottom w:val="nil"/>
          <w:right w:val="nil"/>
          <w:between w:val="nil"/>
        </w:pBdr>
        <w:spacing w:line="276" w:lineRule="auto"/>
      </w:pPr>
    </w:p>
    <w:p w14:paraId="5484EBB0" w14:textId="77777777" w:rsidR="00DA6B6E" w:rsidRDefault="00DA6B6E">
      <w:pPr>
        <w:widowControl w:val="0"/>
        <w:pBdr>
          <w:top w:val="nil"/>
          <w:left w:val="nil"/>
          <w:bottom w:val="nil"/>
          <w:right w:val="nil"/>
          <w:between w:val="nil"/>
        </w:pBdr>
        <w:spacing w:line="276" w:lineRule="auto"/>
      </w:pPr>
    </w:p>
    <w:p w14:paraId="5484EBB1" w14:textId="77777777" w:rsidR="00DA6B6E" w:rsidRDefault="00DA6B6E">
      <w:pPr>
        <w:widowControl w:val="0"/>
        <w:pBdr>
          <w:top w:val="nil"/>
          <w:left w:val="nil"/>
          <w:bottom w:val="nil"/>
          <w:right w:val="nil"/>
          <w:between w:val="nil"/>
        </w:pBdr>
        <w:spacing w:line="276" w:lineRule="auto"/>
      </w:pPr>
    </w:p>
    <w:p w14:paraId="5484EBB2" w14:textId="77777777" w:rsidR="00DA6B6E" w:rsidRDefault="00DA6B6E">
      <w:pPr>
        <w:widowControl w:val="0"/>
        <w:pBdr>
          <w:top w:val="nil"/>
          <w:left w:val="nil"/>
          <w:bottom w:val="nil"/>
          <w:right w:val="nil"/>
          <w:between w:val="nil"/>
        </w:pBdr>
        <w:spacing w:line="276" w:lineRule="auto"/>
      </w:pPr>
    </w:p>
    <w:p w14:paraId="4DE25658" w14:textId="77777777" w:rsidR="00973053" w:rsidRDefault="00973053">
      <w:pPr>
        <w:spacing w:before="8040" w:after="100" w:line="276" w:lineRule="auto"/>
        <w:ind w:left="480" w:right="480"/>
        <w:jc w:val="both"/>
      </w:pPr>
    </w:p>
    <w:p w14:paraId="5484EBB3" w14:textId="4D799F55" w:rsidR="00DA6B6E" w:rsidRDefault="00A26E78">
      <w:pPr>
        <w:spacing w:before="8040" w:after="100" w:line="276" w:lineRule="auto"/>
        <w:ind w:left="480" w:right="480"/>
        <w:jc w:val="both"/>
      </w:pPr>
      <w:r>
        <w:t xml:space="preserve">© Safe Spaces, 2026. This material is released under the Creative Commons Attribution 4.0 International licence (CC BY 4.0). Permission is granted to utilize, modify, and translate these resources for organizational use, provided the Safe Spaces project is formally credited. Access the complete toolkit at </w:t>
      </w:r>
      <w:hyperlink r:id="rId8">
        <w:r>
          <w:t>www.safe-spaces.eu</w:t>
        </w:r>
      </w:hyperlink>
      <w:r>
        <w:t>.</w:t>
      </w:r>
      <w:r>
        <w:rPr>
          <w:noProof/>
        </w:rPr>
        <w:drawing>
          <wp:anchor distT="114300" distB="114300" distL="114300" distR="114300" simplePos="0" relativeHeight="251658240" behindDoc="0" locked="0" layoutInCell="1" hidden="0" allowOverlap="1" wp14:anchorId="5484EBB5" wp14:editId="5484EBB6">
            <wp:simplePos x="0" y="0"/>
            <wp:positionH relativeFrom="column">
              <wp:posOffset>304800</wp:posOffset>
            </wp:positionH>
            <wp:positionV relativeFrom="paragraph">
              <wp:posOffset>4714875</wp:posOffset>
            </wp:positionV>
            <wp:extent cx="1552575" cy="19050"/>
            <wp:effectExtent l="0" t="0" r="0" b="0"/>
            <wp:wrapNone/>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1552575" cy="19050"/>
                    </a:xfrm>
                    <a:prstGeom prst="rect">
                      <a:avLst/>
                    </a:prstGeom>
                    <a:ln/>
                  </pic:spPr>
                </pic:pic>
              </a:graphicData>
            </a:graphic>
          </wp:anchor>
        </w:drawing>
      </w:r>
    </w:p>
    <w:p w14:paraId="5484EBB4" w14:textId="77777777" w:rsidR="00DA6B6E" w:rsidRDefault="00A26E78">
      <w:pPr>
        <w:spacing w:before="100" w:after="100" w:line="276" w:lineRule="auto"/>
        <w:ind w:left="480" w:right="480"/>
        <w:jc w:val="both"/>
      </w:pPr>
      <w:r>
        <w:t>Financial support provided by the European Union. Production of this document by the European Commission does not imply endorsement of the material; the perspectives expressed belong solely to the authors. Neither the National Agency nor the Commission accepts liability for any application of the information provided.</w:t>
      </w:r>
    </w:p>
    <w:sectPr w:rsidR="00DA6B6E">
      <w:headerReference w:type="default" r:id="rId10"/>
      <w:footerReference w:type="default" r:id="rId11"/>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B390B14" w14:textId="77777777" w:rsidR="00A26E78" w:rsidRDefault="00A26E78">
      <w:r>
        <w:separator/>
      </w:r>
    </w:p>
  </w:endnote>
  <w:endnote w:type="continuationSeparator" w:id="0">
    <w:p w14:paraId="76A77264" w14:textId="77777777" w:rsidR="00A26E78" w:rsidRDefault="00A26E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DC39B880-5228-2049-8684-36FD33C0427E}"/>
  </w:font>
  <w:font w:name="Montserrat">
    <w:panose1 w:val="00000000000000000000"/>
    <w:charset w:val="4D"/>
    <w:family w:val="auto"/>
    <w:pitch w:val="variable"/>
    <w:sig w:usb0="A00002FF" w:usb1="4000207B" w:usb2="00000000" w:usb3="00000000" w:csb0="00000197" w:csb1="00000000"/>
    <w:embedRegular r:id="rId2" w:fontKey="{4BB3DB12-1D96-F847-AD75-3EBA10C8ADE3}"/>
    <w:embedBold r:id="rId3" w:fontKey="{0F1AA5C2-DAEC-DB48-9163-B330FA69AB5C}"/>
    <w:embedItalic r:id="rId4" w:fontKey="{ACC2582C-8F4B-334C-AE77-14313DEF98B9}"/>
  </w:font>
  <w:font w:name="Georgia">
    <w:panose1 w:val="02040502050405020303"/>
    <w:charset w:val="00"/>
    <w:family w:val="roman"/>
    <w:pitch w:val="variable"/>
    <w:sig w:usb0="00000287" w:usb1="00000000" w:usb2="00000000" w:usb3="00000000" w:csb0="0000009F" w:csb1="00000000"/>
    <w:embedItalic r:id="rId5" w:fontKey="{AC4C1C56-CCC5-394A-9253-4D26741E4CF6}"/>
  </w:font>
  <w:font w:name="Calibri">
    <w:panose1 w:val="020F0502020204030204"/>
    <w:charset w:val="00"/>
    <w:family w:val="swiss"/>
    <w:pitch w:val="variable"/>
    <w:sig w:usb0="E4002EFF" w:usb1="C200247B" w:usb2="00000009" w:usb3="00000000" w:csb0="000001FF" w:csb1="00000000"/>
    <w:embedRegular r:id="rId6" w:fontKey="{55E1712B-8B27-5243-AC12-67A3A2185D58}"/>
  </w:font>
  <w:font w:name="Cambria">
    <w:panose1 w:val="02040503050406030204"/>
    <w:charset w:val="00"/>
    <w:family w:val="roman"/>
    <w:pitch w:val="variable"/>
    <w:sig w:usb0="E00006FF" w:usb1="420024FF" w:usb2="02000000" w:usb3="00000000" w:csb0="0000019F" w:csb1="00000000"/>
    <w:embedRegular r:id="rId7" w:fontKey="{4B52F8EB-803B-4846-9806-49FBB3529C0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484EBB8" w14:textId="77777777" w:rsidR="00DA6B6E" w:rsidRDefault="00A26E78">
    <w:pPr>
      <w:pBdr>
        <w:top w:val="single" w:sz="8" w:space="4" w:color="1291D1"/>
      </w:pBdr>
      <w:spacing w:after="60"/>
      <w:jc w:val="center"/>
    </w:pPr>
    <w:r>
      <w:rPr>
        <w:noProof/>
      </w:rPr>
      <w:drawing>
        <wp:inline distT="0" distB="0" distL="0" distR="0" wp14:anchorId="5484EBBC" wp14:editId="5484EBBD">
          <wp:extent cx="1809750" cy="400050"/>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809750" cy="400050"/>
                  </a:xfrm>
                  <a:prstGeom prst="rect">
                    <a:avLst/>
                  </a:prstGeom>
                  <a:ln/>
                </pic:spPr>
              </pic:pic>
            </a:graphicData>
          </a:graphic>
        </wp:inline>
      </w:drawing>
    </w:r>
  </w:p>
  <w:p w14:paraId="5484EBB9" w14:textId="77777777" w:rsidR="00DA6B6E" w:rsidRDefault="00A26E78">
    <w:pPr>
      <w:spacing w:before="40"/>
      <w:jc w:val="center"/>
    </w:pPr>
    <w:r>
      <w:rPr>
        <w:b/>
        <w:bCs/>
        <w:color w:val="1291D1"/>
      </w:rPr>
      <w:t>www.safe-spaces.eu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606C454" w14:textId="77777777" w:rsidR="00A26E78" w:rsidRDefault="00A26E78">
      <w:r>
        <w:separator/>
      </w:r>
    </w:p>
  </w:footnote>
  <w:footnote w:type="continuationSeparator" w:id="0">
    <w:p w14:paraId="701307B1" w14:textId="77777777" w:rsidR="00A26E78" w:rsidRDefault="00A26E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484EBB7" w14:textId="77777777" w:rsidR="00DA6B6E" w:rsidRDefault="00A26E78">
    <w:pPr>
      <w:pBdr>
        <w:bottom w:val="single" w:sz="8" w:space="4" w:color="1291D1"/>
      </w:pBdr>
      <w:spacing w:after="80"/>
    </w:pPr>
    <w:r>
      <w:rPr>
        <w:noProof/>
      </w:rPr>
      <w:drawing>
        <wp:inline distT="0" distB="0" distL="0" distR="0" wp14:anchorId="5484EBBA" wp14:editId="5484EBBB">
          <wp:extent cx="1104900" cy="59055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04900" cy="59055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A49391A"/>
    <w:multiLevelType w:val="multilevel"/>
    <w:tmpl w:val="B9F444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66346638">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31"/>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B6E"/>
    <w:rsid w:val="00973053"/>
    <w:rsid w:val="00A26E78"/>
    <w:rsid w:val="00DA6B6E"/>
    <w:rsid w:val="00F139BA"/>
  </w:rsids>
  <m:mathPr>
    <m:mathFont m:val="Cambria Math"/>
    <m:brkBin m:val="before"/>
    <m:brkBinSub m:val="--"/>
    <m:smallFrac m:val="0"/>
    <m:dispDef/>
    <m:lMargin m:val="0"/>
    <m:rMargin m:val="0"/>
    <m:defJc m:val="centerGroup"/>
    <m:wrapIndent m:val="1440"/>
    <m:intLim m:val="subSup"/>
    <m:naryLim m:val="undOvr"/>
  </m:mathPr>
  <w:themeFontLang w:val="en-RO"/>
  <w:clrSchemeMapping w:bg1="light1" w:t1="dark1" w:bg2="light2" w:t2="dark2" w:accent1="accent1" w:accent2="accent2" w:accent3="accent3" w:accent4="accent4" w:accent5="accent5" w:accent6="accent6" w:hyperlink="hyperlink" w:followedHyperlink="followedHyperlink"/>
  <w:decimalSymbol w:val="."/>
  <w:listSeparator w:val=","/>
  <w14:docId w14:val="5484EB72"/>
  <w15:docId w15:val="{A0FB410A-36AB-484A-A6F6-B3D9AF1B1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Montserrat" w:eastAsia="Montserrat" w:hAnsi="Montserrat" w:cs="Montserrat"/>
        <w:color w:val="202122"/>
        <w:lang w:val="en-RO"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outlineLvl w:val="0"/>
    </w:pPr>
    <w:rPr>
      <w:color w:val="2E74B5"/>
      <w:sz w:val="32"/>
      <w:szCs w:val="32"/>
    </w:rPr>
  </w:style>
  <w:style w:type="paragraph" w:styleId="Heading2">
    <w:name w:val="heading 2"/>
    <w:basedOn w:val="Normal"/>
    <w:next w:val="Normal"/>
    <w:uiPriority w:val="9"/>
    <w:semiHidden/>
    <w:unhideWhenUsed/>
    <w:qFormat/>
    <w:pPr>
      <w:pBdr>
        <w:top w:val="nil"/>
        <w:left w:val="nil"/>
        <w:bottom w:val="nil"/>
        <w:right w:val="nil"/>
        <w:between w:val="nil"/>
      </w:pBdr>
      <w:outlineLvl w:val="1"/>
    </w:pPr>
    <w:rPr>
      <w:color w:val="2E74B5"/>
      <w:sz w:val="26"/>
      <w:szCs w:val="26"/>
    </w:rPr>
  </w:style>
  <w:style w:type="paragraph" w:styleId="Heading3">
    <w:name w:val="heading 3"/>
    <w:basedOn w:val="Normal"/>
    <w:next w:val="Normal"/>
    <w:uiPriority w:val="9"/>
    <w:semiHidden/>
    <w:unhideWhenUsed/>
    <w:qFormat/>
    <w:pPr>
      <w:pBdr>
        <w:top w:val="nil"/>
        <w:left w:val="nil"/>
        <w:bottom w:val="nil"/>
        <w:right w:val="nil"/>
        <w:between w:val="nil"/>
      </w:pBdr>
      <w:outlineLvl w:val="2"/>
    </w:pPr>
    <w:rPr>
      <w:color w:val="1F4D78"/>
      <w:sz w:val="24"/>
      <w:szCs w:val="24"/>
    </w:rPr>
  </w:style>
  <w:style w:type="paragraph" w:styleId="Heading4">
    <w:name w:val="heading 4"/>
    <w:basedOn w:val="Normal"/>
    <w:next w:val="Normal"/>
    <w:uiPriority w:val="9"/>
    <w:semiHidden/>
    <w:unhideWhenUsed/>
    <w:qFormat/>
    <w:pPr>
      <w:pBdr>
        <w:top w:val="nil"/>
        <w:left w:val="nil"/>
        <w:bottom w:val="nil"/>
        <w:right w:val="nil"/>
        <w:between w:val="nil"/>
      </w:pBdr>
      <w:outlineLvl w:val="3"/>
    </w:pPr>
    <w:rPr>
      <w:i/>
      <w:iCs/>
      <w:color w:val="2E74B5"/>
    </w:rPr>
  </w:style>
  <w:style w:type="paragraph" w:styleId="Heading5">
    <w:name w:val="heading 5"/>
    <w:basedOn w:val="Normal"/>
    <w:next w:val="Normal"/>
    <w:uiPriority w:val="9"/>
    <w:semiHidden/>
    <w:unhideWhenUsed/>
    <w:qFormat/>
    <w:pPr>
      <w:pBdr>
        <w:top w:val="nil"/>
        <w:left w:val="nil"/>
        <w:bottom w:val="nil"/>
        <w:right w:val="nil"/>
        <w:between w:val="nil"/>
      </w:pBdr>
      <w:outlineLvl w:val="4"/>
    </w:pPr>
    <w:rPr>
      <w:color w:val="2E74B5"/>
    </w:rPr>
  </w:style>
  <w:style w:type="paragraph" w:styleId="Heading6">
    <w:name w:val="heading 6"/>
    <w:basedOn w:val="Normal"/>
    <w:next w:val="Normal"/>
    <w:uiPriority w:val="9"/>
    <w:semiHidden/>
    <w:unhideWhenUsed/>
    <w:qFormat/>
    <w:pPr>
      <w:pBdr>
        <w:top w:val="nil"/>
        <w:left w:val="nil"/>
        <w:bottom w:val="nil"/>
        <w:right w:val="nil"/>
        <w:between w:val="nil"/>
      </w:pBd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top w:val="nil"/>
        <w:left w:val="nil"/>
        <w:bottom w:val="nil"/>
        <w:right w:val="nil"/>
        <w:between w:val="nil"/>
      </w:pBdr>
    </w:pPr>
    <w:rPr>
      <w:sz w:val="56"/>
      <w:szCs w:val="56"/>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safe-spaces.e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LqbALnz1+dt0rqgn2f9PCO/c/g==">CgMxLjA4AHIhMTdZdERYanZMZTczWVllX0lsZXJaVnJqM2lyTGVnRHdu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621</Words>
  <Characters>3542</Characters>
  <Application>Microsoft Office Word</Application>
  <DocSecurity>0</DocSecurity>
  <Lines>29</Lines>
  <Paragraphs>8</Paragraphs>
  <ScaleCrop>false</ScaleCrop>
  <Company/>
  <LinksUpToDate>false</LinksUpToDate>
  <CharactersWithSpaces>4155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Razvan Divrician</cp:lastModifiedBy>
  <cp:revision>2</cp:revision>
  <dcterms:created xsi:type="dcterms:W3CDTF">2026-08-26T16:35:00Z</dcterms:created>
  <dcterms:modified xsi:type="dcterms:W3CDTF">2026-08-26T16:35:00Z</dcterms:modified>
</cp:coreProperties>
</file>