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BAB4A6" w14:textId="77777777" w:rsidR="00237FA3" w:rsidRDefault="0096550A">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O3</w:t>
      </w:r>
      <w:r>
        <w:rPr>
          <w:b/>
          <w:bCs/>
          <w:color w:val="FFFFFF"/>
          <w:sz w:val="28"/>
          <w:szCs w:val="28"/>
        </w:rPr>
        <w:t xml:space="preserve"> GDPR and Safeguarding Data Handling</w:t>
      </w:r>
    </w:p>
    <w:p w14:paraId="76BAB4A7" w14:textId="77777777" w:rsidR="00237FA3" w:rsidRDefault="0096550A">
      <w:pPr>
        <w:shd w:val="clear" w:color="auto" w:fill="0A5F8A"/>
        <w:spacing w:after="200"/>
      </w:pPr>
      <w:r>
        <w:rPr>
          <w:i/>
          <w:iCs/>
          <w:color w:val="B3D9F7"/>
          <w:sz w:val="18"/>
          <w:szCs w:val="18"/>
        </w:rPr>
        <w:t xml:space="preserve">  </w:t>
      </w:r>
      <w:r>
        <w:rPr>
          <w:i/>
          <w:iCs/>
          <w:color w:val="B3D9F7"/>
          <w:sz w:val="18"/>
          <w:szCs w:val="18"/>
        </w:rPr>
        <w:t>How to handle, store, share and protect safeguarding data in compliance with EU law</w:t>
      </w:r>
    </w:p>
    <w:p w14:paraId="76BAB4A8" w14:textId="77777777" w:rsidR="00237FA3" w:rsidRDefault="00237FA3">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237FA3" w14:paraId="76BAB4AC" w14:textId="77777777">
        <w:tc>
          <w:tcPr>
            <w:tcW w:w="9026" w:type="dxa"/>
            <w:shd w:val="clear" w:color="auto" w:fill="EBF6FC"/>
            <w:tcMar>
              <w:top w:w="100" w:type="dxa"/>
              <w:left w:w="180" w:type="dxa"/>
              <w:bottom w:w="100" w:type="dxa"/>
              <w:right w:w="180" w:type="dxa"/>
            </w:tcMar>
          </w:tcPr>
          <w:p w14:paraId="76BAB4A9" w14:textId="77777777" w:rsidR="00237FA3" w:rsidRDefault="0096550A">
            <w:pPr>
              <w:spacing w:after="40"/>
            </w:pPr>
            <w:r>
              <w:rPr>
                <w:b/>
                <w:bCs/>
                <w:color w:val="0A5F8A"/>
              </w:rPr>
              <w:t>Purpose</w:t>
            </w:r>
          </w:p>
          <w:p w14:paraId="76BAB4AA" w14:textId="77777777" w:rsidR="00237FA3" w:rsidRDefault="0096550A">
            <w:pPr>
              <w:spacing w:after="60"/>
            </w:pPr>
            <w:r>
              <w:t>This document provides GDPR-compliant guidance for handling safeguarding data — the personal and sensitive information that arises when safeguarding concerns are raised, recorded and managed.</w:t>
            </w:r>
          </w:p>
          <w:p w14:paraId="76BAB4AB" w14:textId="77777777" w:rsidR="00237FA3" w:rsidRDefault="0096550A">
            <w:r>
              <w:t>EU member organisations: treat this as a complement to your existing GDPR policy. Non-EU organisations operating within Erasmus+ and ESC: GDPR applies to your processing of data about EU citizens. You are required to comply. This document covers the most important safeguarding-specific applications of GDPR principles.</w:t>
            </w:r>
          </w:p>
        </w:tc>
      </w:tr>
    </w:tbl>
    <w:p w14:paraId="76BAB4AD" w14:textId="77777777" w:rsidR="00237FA3" w:rsidRDefault="00237FA3">
      <w:pPr>
        <w:pBdr>
          <w:bottom w:val="single" w:sz="6" w:space="4" w:color="1291D1"/>
        </w:pBdr>
        <w:spacing w:after="160"/>
      </w:pPr>
    </w:p>
    <w:p w14:paraId="76BAB4AE" w14:textId="77777777" w:rsidR="00237FA3" w:rsidRDefault="0096550A">
      <w:pPr>
        <w:spacing w:after="80"/>
      </w:pPr>
      <w:r>
        <w:rPr>
          <w:b/>
          <w:bCs/>
          <w:color w:val="0A5F8A"/>
          <w:sz w:val="26"/>
          <w:szCs w:val="26"/>
        </w:rPr>
        <w:t>1. What Safeguarding Data Is</w:t>
      </w:r>
    </w:p>
    <w:p w14:paraId="76BAB4AF" w14:textId="77777777" w:rsidR="00237FA3" w:rsidRDefault="0096550A">
      <w:pPr>
        <w:spacing w:after="60"/>
      </w:pPr>
      <w:r>
        <w:t>Safeguarding data includes all personal information that arises in the context of safeguarding: the identity and contact details of the person at risk, the alleged perpetrator, witnesses and reporting parties; the content of disclosures; case records; investigation notes; monitoring plans; and case outcomes.</w:t>
      </w:r>
    </w:p>
    <w:p w14:paraId="76BAB4B0" w14:textId="77777777" w:rsidR="00237FA3" w:rsidRDefault="0096550A">
      <w:pPr>
        <w:spacing w:after="60"/>
      </w:pPr>
      <w:r>
        <w:t>Safeguarding data is classified as special category data under GDPR Article 9 because it may concern: health and medical conditions; sexual orientation or sexual acts; criminal allegations; and information about children. Special category data requires a specific lawful basis and must be handled with heightened care.</w:t>
      </w:r>
    </w:p>
    <w:p w14:paraId="76BAB4B1" w14:textId="77777777" w:rsidR="00237FA3" w:rsidRDefault="00237FA3">
      <w:pPr>
        <w:pBdr>
          <w:bottom w:val="single" w:sz="6" w:space="4" w:color="1291D1"/>
        </w:pBdr>
        <w:spacing w:after="160"/>
      </w:pPr>
    </w:p>
    <w:p w14:paraId="76BAB4B2" w14:textId="77777777" w:rsidR="00237FA3" w:rsidRDefault="0096550A">
      <w:pPr>
        <w:spacing w:after="80"/>
      </w:pPr>
      <w:r>
        <w:rPr>
          <w:b/>
          <w:bCs/>
          <w:color w:val="0A5F8A"/>
          <w:sz w:val="26"/>
          <w:szCs w:val="26"/>
        </w:rPr>
        <w:t>2. Lawful Bases for Processing Safeguarding Data</w:t>
      </w: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237FA3" w14:paraId="76BAB4B4" w14:textId="77777777">
        <w:trPr>
          <w:gridAfter w:val="1"/>
        </w:trPr>
        <w:tc>
          <w:tcPr>
            <w:tcW w:w="3500" w:type="dxa"/>
            <w:shd w:val="clear" w:color="auto" w:fill="0A5F8A"/>
            <w:tcMar>
              <w:top w:w="80" w:type="dxa"/>
              <w:left w:w="120" w:type="dxa"/>
              <w:bottom w:w="80" w:type="dxa"/>
              <w:right w:w="120" w:type="dxa"/>
            </w:tcMar>
          </w:tcPr>
          <w:p w14:paraId="76BAB4B3" w14:textId="77777777" w:rsidR="00237FA3" w:rsidRDefault="0096550A">
            <w:r>
              <w:rPr>
                <w:b/>
                <w:bCs/>
                <w:color w:val="FFFFFF"/>
              </w:rPr>
              <w:t>Processing activity</w:t>
            </w:r>
          </w:p>
        </w:tc>
      </w:tr>
      <w:tr w:rsidR="00237FA3" w14:paraId="76BAB4B7" w14:textId="77777777">
        <w:tc>
          <w:tcPr>
            <w:tcW w:w="3500" w:type="dxa"/>
            <w:shd w:val="clear" w:color="auto" w:fill="EBF6FC"/>
            <w:tcMar>
              <w:top w:w="60" w:type="dxa"/>
              <w:left w:w="120" w:type="dxa"/>
              <w:bottom w:w="60" w:type="dxa"/>
              <w:right w:w="120" w:type="dxa"/>
            </w:tcMar>
          </w:tcPr>
          <w:p w14:paraId="76BAB4B5" w14:textId="77777777" w:rsidR="00237FA3" w:rsidRDefault="0096550A">
            <w:pPr>
              <w:spacing w:after="40"/>
            </w:pPr>
            <w:r>
              <w:t>Recording a safeguarding concern and managing the response</w:t>
            </w:r>
          </w:p>
        </w:tc>
        <w:tc>
          <w:tcPr>
            <w:tcW w:w="5526" w:type="dxa"/>
            <w:shd w:val="clear" w:color="auto" w:fill="FFFFFF"/>
            <w:tcMar>
              <w:top w:w="60" w:type="dxa"/>
              <w:left w:w="120" w:type="dxa"/>
              <w:bottom w:w="60" w:type="dxa"/>
              <w:right w:w="120" w:type="dxa"/>
            </w:tcMar>
          </w:tcPr>
          <w:p w14:paraId="76BAB4B6" w14:textId="77777777" w:rsidR="00237FA3" w:rsidRDefault="0096550A">
            <w:pPr>
              <w:spacing w:after="40"/>
            </w:pPr>
            <w:r>
              <w:t>GDPR Article 9(2)(b): processing necessary for obligations and rights in employment and social protection. Or Article 9(2)(c): vital interests — protecting the life or physical safety of the data subject or another person.</w:t>
            </w:r>
          </w:p>
        </w:tc>
      </w:tr>
      <w:tr w:rsidR="00237FA3" w14:paraId="76BAB4BA" w14:textId="77777777">
        <w:tc>
          <w:tcPr>
            <w:tcW w:w="3500" w:type="dxa"/>
            <w:shd w:val="clear" w:color="auto" w:fill="EBF6FC"/>
            <w:tcMar>
              <w:top w:w="60" w:type="dxa"/>
              <w:left w:w="120" w:type="dxa"/>
              <w:bottom w:w="60" w:type="dxa"/>
              <w:right w:w="120" w:type="dxa"/>
            </w:tcMar>
          </w:tcPr>
          <w:p w14:paraId="76BAB4B8" w14:textId="77777777" w:rsidR="00237FA3" w:rsidRDefault="0096550A">
            <w:pPr>
              <w:spacing w:after="40"/>
            </w:pPr>
            <w:r>
              <w:t>Sharing data with statutory authorities (police, social services)</w:t>
            </w:r>
          </w:p>
        </w:tc>
        <w:tc>
          <w:tcPr>
            <w:tcW w:w="5526" w:type="dxa"/>
            <w:shd w:val="clear" w:color="auto" w:fill="FFFFFF"/>
            <w:tcMar>
              <w:top w:w="60" w:type="dxa"/>
              <w:left w:w="120" w:type="dxa"/>
              <w:bottom w:w="60" w:type="dxa"/>
              <w:right w:w="120" w:type="dxa"/>
            </w:tcMar>
          </w:tcPr>
          <w:p w14:paraId="76BAB4B9" w14:textId="77777777" w:rsidR="00237FA3" w:rsidRDefault="0096550A">
            <w:pPr>
              <w:spacing w:after="40"/>
            </w:pPr>
            <w:r>
              <w:t>Article 9(2)(c): vital interests. Or Article 9(2)(g): substantial public interest (child protection and safeguarding).</w:t>
            </w:r>
          </w:p>
        </w:tc>
      </w:tr>
      <w:tr w:rsidR="00237FA3" w14:paraId="76BAB4BD" w14:textId="77777777">
        <w:tc>
          <w:tcPr>
            <w:tcW w:w="3500" w:type="dxa"/>
            <w:shd w:val="clear" w:color="auto" w:fill="EBF6FC"/>
            <w:tcMar>
              <w:top w:w="60" w:type="dxa"/>
              <w:left w:w="120" w:type="dxa"/>
              <w:bottom w:w="60" w:type="dxa"/>
              <w:right w:w="120" w:type="dxa"/>
            </w:tcMar>
          </w:tcPr>
          <w:p w14:paraId="76BAB4BB" w14:textId="77777777" w:rsidR="00237FA3" w:rsidRDefault="0096550A">
            <w:pPr>
              <w:spacing w:after="40"/>
            </w:pPr>
            <w:r>
              <w:t>Sharing data across partner organisations or across national borders in an urgent case</w:t>
            </w:r>
          </w:p>
        </w:tc>
        <w:tc>
          <w:tcPr>
            <w:tcW w:w="5526" w:type="dxa"/>
            <w:shd w:val="clear" w:color="auto" w:fill="FFFFFF"/>
            <w:tcMar>
              <w:top w:w="60" w:type="dxa"/>
              <w:left w:w="120" w:type="dxa"/>
              <w:bottom w:w="60" w:type="dxa"/>
              <w:right w:w="120" w:type="dxa"/>
            </w:tcMar>
          </w:tcPr>
          <w:p w14:paraId="76BAB4BC" w14:textId="77777777" w:rsidR="00237FA3" w:rsidRDefault="0096550A">
            <w:pPr>
              <w:spacing w:after="40"/>
            </w:pPr>
            <w:r>
              <w:t>Article 6(1)(d) and Article 9(2)(c): vital interests. Tell the person at risk what is being shared and why, before sharing where possible.</w:t>
            </w:r>
          </w:p>
        </w:tc>
      </w:tr>
      <w:tr w:rsidR="00237FA3" w14:paraId="76BAB4C0" w14:textId="77777777">
        <w:tc>
          <w:tcPr>
            <w:tcW w:w="3500" w:type="dxa"/>
            <w:shd w:val="clear" w:color="auto" w:fill="EBF6FC"/>
            <w:tcMar>
              <w:top w:w="60" w:type="dxa"/>
              <w:left w:w="120" w:type="dxa"/>
              <w:bottom w:w="60" w:type="dxa"/>
              <w:right w:w="120" w:type="dxa"/>
            </w:tcMar>
          </w:tcPr>
          <w:p w14:paraId="76BAB4BE" w14:textId="77777777" w:rsidR="00237FA3" w:rsidRDefault="0096550A">
            <w:pPr>
              <w:spacing w:after="40"/>
            </w:pPr>
            <w:r>
              <w:t>Retaining case records after case closure</w:t>
            </w:r>
          </w:p>
        </w:tc>
        <w:tc>
          <w:tcPr>
            <w:tcW w:w="5526" w:type="dxa"/>
            <w:shd w:val="clear" w:color="auto" w:fill="FFFFFF"/>
            <w:tcMar>
              <w:top w:w="60" w:type="dxa"/>
              <w:left w:w="120" w:type="dxa"/>
              <w:bottom w:w="60" w:type="dxa"/>
              <w:right w:w="120" w:type="dxa"/>
            </w:tcMar>
          </w:tcPr>
          <w:p w14:paraId="76BAB4BF" w14:textId="77777777" w:rsidR="00237FA3" w:rsidRDefault="0096550A">
            <w:pPr>
              <w:spacing w:after="40"/>
            </w:pPr>
            <w:r>
              <w:t>Article 6(1)(c): legal obligation — statutory retention requirements vary by country. Minimum recommended retention: 6 years for adult cases; until the person reaches 25 for child cases. Check your national legal supplement.</w:t>
            </w:r>
          </w:p>
        </w:tc>
      </w:tr>
      <w:tr w:rsidR="00237FA3" w14:paraId="76BAB4C3" w14:textId="77777777">
        <w:tc>
          <w:tcPr>
            <w:tcW w:w="3500" w:type="dxa"/>
            <w:shd w:val="clear" w:color="auto" w:fill="EBF6FC"/>
            <w:tcMar>
              <w:top w:w="60" w:type="dxa"/>
              <w:left w:w="120" w:type="dxa"/>
              <w:bottom w:w="60" w:type="dxa"/>
              <w:right w:w="120" w:type="dxa"/>
            </w:tcMar>
          </w:tcPr>
          <w:p w14:paraId="76BAB4C1" w14:textId="77777777" w:rsidR="00237FA3" w:rsidRDefault="0096550A">
            <w:pPr>
              <w:spacing w:after="40"/>
            </w:pPr>
            <w:r>
              <w:lastRenderedPageBreak/>
              <w:t>Sharing anonymised data in the annual review (O4)</w:t>
            </w:r>
          </w:p>
        </w:tc>
        <w:tc>
          <w:tcPr>
            <w:tcW w:w="5526" w:type="dxa"/>
            <w:shd w:val="clear" w:color="auto" w:fill="FFFFFF"/>
            <w:tcMar>
              <w:top w:w="60" w:type="dxa"/>
              <w:left w:w="120" w:type="dxa"/>
              <w:bottom w:w="60" w:type="dxa"/>
              <w:right w:w="120" w:type="dxa"/>
            </w:tcMar>
          </w:tcPr>
          <w:p w14:paraId="76BAB4C2" w14:textId="77777777" w:rsidR="00237FA3" w:rsidRDefault="0096550A">
            <w:pPr>
              <w:spacing w:after="40"/>
            </w:pPr>
            <w:r>
              <w:t>Article 6(1)(a): consent, or legitimate interests — data is anonymised and used for governance purposes only.</w:t>
            </w:r>
          </w:p>
        </w:tc>
      </w:tr>
    </w:tbl>
    <w:p w14:paraId="76BAB4C4" w14:textId="77777777" w:rsidR="00237FA3" w:rsidRDefault="00237FA3">
      <w:pPr>
        <w:pBdr>
          <w:bottom w:val="single" w:sz="6" w:space="4" w:color="1291D1"/>
        </w:pBdr>
        <w:spacing w:after="160"/>
      </w:pPr>
    </w:p>
    <w:p w14:paraId="76BAB4C5" w14:textId="77777777" w:rsidR="00237FA3" w:rsidRDefault="0096550A">
      <w:pPr>
        <w:spacing w:after="80"/>
      </w:pPr>
      <w:r>
        <w:rPr>
          <w:b/>
          <w:bCs/>
          <w:color w:val="0A5F8A"/>
          <w:sz w:val="26"/>
          <w:szCs w:val="26"/>
        </w:rPr>
        <w:t>3. Who Can Access Safeguarding Data</w:t>
      </w:r>
    </w:p>
    <w:p w14:paraId="76BAB4C6" w14:textId="77777777" w:rsidR="00237FA3" w:rsidRDefault="0096550A">
      <w:pPr>
        <w:spacing w:after="60"/>
      </w:pPr>
      <w:r>
        <w:t>Access to safeguarding data is restricted on a strict need-to-know basis. The following access levels apply:</w:t>
      </w: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237FA3" w14:paraId="76BAB4C8" w14:textId="77777777">
        <w:trPr>
          <w:gridAfter w:val="1"/>
        </w:trPr>
        <w:tc>
          <w:tcPr>
            <w:tcW w:w="3500" w:type="dxa"/>
            <w:shd w:val="clear" w:color="auto" w:fill="0A5F8A"/>
            <w:tcMar>
              <w:top w:w="80" w:type="dxa"/>
              <w:left w:w="120" w:type="dxa"/>
              <w:bottom w:w="80" w:type="dxa"/>
              <w:right w:w="120" w:type="dxa"/>
            </w:tcMar>
          </w:tcPr>
          <w:p w14:paraId="76BAB4C7" w14:textId="77777777" w:rsidR="00237FA3" w:rsidRDefault="0096550A">
            <w:r>
              <w:rPr>
                <w:b/>
                <w:bCs/>
                <w:color w:val="FFFFFF"/>
              </w:rPr>
              <w:t>Data type</w:t>
            </w:r>
          </w:p>
        </w:tc>
      </w:tr>
      <w:tr w:rsidR="00237FA3" w14:paraId="76BAB4CB" w14:textId="77777777">
        <w:tc>
          <w:tcPr>
            <w:tcW w:w="3500" w:type="dxa"/>
            <w:shd w:val="clear" w:color="auto" w:fill="EBF6FC"/>
            <w:tcMar>
              <w:top w:w="60" w:type="dxa"/>
              <w:left w:w="120" w:type="dxa"/>
              <w:bottom w:w="60" w:type="dxa"/>
              <w:right w:w="120" w:type="dxa"/>
            </w:tcMar>
          </w:tcPr>
          <w:p w14:paraId="76BAB4C9" w14:textId="77777777" w:rsidR="00237FA3" w:rsidRDefault="0096550A">
            <w:pPr>
              <w:spacing w:after="40"/>
            </w:pPr>
            <w:r>
              <w:t>I1 Part A (Incident Form)</w:t>
            </w:r>
          </w:p>
        </w:tc>
        <w:tc>
          <w:tcPr>
            <w:tcW w:w="5526" w:type="dxa"/>
            <w:shd w:val="clear" w:color="auto" w:fill="FFFFFF"/>
            <w:tcMar>
              <w:top w:w="60" w:type="dxa"/>
              <w:left w:w="120" w:type="dxa"/>
              <w:bottom w:w="60" w:type="dxa"/>
              <w:right w:w="120" w:type="dxa"/>
            </w:tcMar>
          </w:tcPr>
          <w:p w14:paraId="76BAB4CA" w14:textId="77777777" w:rsidR="00237FA3" w:rsidRDefault="0096550A">
            <w:pPr>
              <w:spacing w:after="40"/>
            </w:pPr>
            <w:r>
              <w:t>The DSL and Alternate DSL. In exceptional cases, the board chair or senior manager directly involved in case management.</w:t>
            </w:r>
          </w:p>
        </w:tc>
      </w:tr>
      <w:tr w:rsidR="00237FA3" w14:paraId="76BAB4CE" w14:textId="77777777">
        <w:tc>
          <w:tcPr>
            <w:tcW w:w="3500" w:type="dxa"/>
            <w:shd w:val="clear" w:color="auto" w:fill="EBF6FC"/>
            <w:tcMar>
              <w:top w:w="60" w:type="dxa"/>
              <w:left w:w="120" w:type="dxa"/>
              <w:bottom w:w="60" w:type="dxa"/>
              <w:right w:w="120" w:type="dxa"/>
            </w:tcMar>
          </w:tcPr>
          <w:p w14:paraId="76BAB4CC" w14:textId="77777777" w:rsidR="00237FA3" w:rsidRDefault="0096550A">
            <w:pPr>
              <w:spacing w:after="40"/>
            </w:pPr>
            <w:r>
              <w:t>I1 Part B (Case Log)</w:t>
            </w:r>
          </w:p>
        </w:tc>
        <w:tc>
          <w:tcPr>
            <w:tcW w:w="5526" w:type="dxa"/>
            <w:shd w:val="clear" w:color="auto" w:fill="FFFFFF"/>
            <w:tcMar>
              <w:top w:w="60" w:type="dxa"/>
              <w:left w:w="120" w:type="dxa"/>
              <w:bottom w:w="60" w:type="dxa"/>
              <w:right w:w="120" w:type="dxa"/>
            </w:tcMar>
          </w:tcPr>
          <w:p w14:paraId="76BAB4CD" w14:textId="77777777" w:rsidR="00237FA3" w:rsidRDefault="0096550A">
            <w:pPr>
              <w:spacing w:after="40"/>
            </w:pPr>
            <w:r>
              <w:t>The DSL and Alternate DSL. External safeguarding advisor when engaged on the case.</w:t>
            </w:r>
          </w:p>
        </w:tc>
      </w:tr>
      <w:tr w:rsidR="00237FA3" w14:paraId="76BAB4D1" w14:textId="77777777">
        <w:tc>
          <w:tcPr>
            <w:tcW w:w="3500" w:type="dxa"/>
            <w:shd w:val="clear" w:color="auto" w:fill="EBF6FC"/>
            <w:tcMar>
              <w:top w:w="60" w:type="dxa"/>
              <w:left w:w="120" w:type="dxa"/>
              <w:bottom w:w="60" w:type="dxa"/>
              <w:right w:w="120" w:type="dxa"/>
            </w:tcMar>
          </w:tcPr>
          <w:p w14:paraId="76BAB4CF" w14:textId="77777777" w:rsidR="00237FA3" w:rsidRDefault="0096550A">
            <w:pPr>
              <w:spacing w:after="40"/>
            </w:pPr>
            <w:r>
              <w:t>I1 Part C (Identity Index — links codes to real names)</w:t>
            </w:r>
          </w:p>
        </w:tc>
        <w:tc>
          <w:tcPr>
            <w:tcW w:w="5526" w:type="dxa"/>
            <w:shd w:val="clear" w:color="auto" w:fill="FFFFFF"/>
            <w:tcMar>
              <w:top w:w="60" w:type="dxa"/>
              <w:left w:w="120" w:type="dxa"/>
              <w:bottom w:w="60" w:type="dxa"/>
              <w:right w:w="120" w:type="dxa"/>
            </w:tcMar>
          </w:tcPr>
          <w:p w14:paraId="76BAB4D0" w14:textId="77777777" w:rsidR="00237FA3" w:rsidRDefault="0096550A">
            <w:pPr>
              <w:spacing w:after="40"/>
            </w:pPr>
            <w:r>
              <w:t>The DSL and Alternate DSL only. This is the most restricted document in the safeguarding system. It must never be combined with Parts A or B.</w:t>
            </w:r>
          </w:p>
        </w:tc>
      </w:tr>
      <w:tr w:rsidR="00237FA3" w14:paraId="76BAB4D4" w14:textId="77777777">
        <w:tc>
          <w:tcPr>
            <w:tcW w:w="3500" w:type="dxa"/>
            <w:shd w:val="clear" w:color="auto" w:fill="EBF6FC"/>
            <w:tcMar>
              <w:top w:w="60" w:type="dxa"/>
              <w:left w:w="120" w:type="dxa"/>
              <w:bottom w:w="60" w:type="dxa"/>
              <w:right w:w="120" w:type="dxa"/>
            </w:tcMar>
          </w:tcPr>
          <w:p w14:paraId="76BAB4D2" w14:textId="77777777" w:rsidR="00237FA3" w:rsidRDefault="0096550A">
            <w:pPr>
              <w:spacing w:after="40"/>
            </w:pPr>
            <w:r>
              <w:t>Monitoring plan records</w:t>
            </w:r>
          </w:p>
        </w:tc>
        <w:tc>
          <w:tcPr>
            <w:tcW w:w="5526" w:type="dxa"/>
            <w:shd w:val="clear" w:color="auto" w:fill="FFFFFF"/>
            <w:tcMar>
              <w:top w:w="60" w:type="dxa"/>
              <w:left w:w="120" w:type="dxa"/>
              <w:bottom w:w="60" w:type="dxa"/>
              <w:right w:w="120" w:type="dxa"/>
            </w:tcMar>
          </w:tcPr>
          <w:p w14:paraId="76BAB4D3" w14:textId="77777777" w:rsidR="00237FA3" w:rsidRDefault="0096550A">
            <w:pPr>
              <w:spacing w:after="40"/>
            </w:pPr>
            <w:r>
              <w:t>DSL, Alternate DSL, and any named contact person in the monitoring plan.</w:t>
            </w:r>
          </w:p>
        </w:tc>
      </w:tr>
      <w:tr w:rsidR="00237FA3" w14:paraId="76BAB4D7" w14:textId="77777777">
        <w:tc>
          <w:tcPr>
            <w:tcW w:w="3500" w:type="dxa"/>
            <w:shd w:val="clear" w:color="auto" w:fill="EBF6FC"/>
            <w:tcMar>
              <w:top w:w="60" w:type="dxa"/>
              <w:left w:w="120" w:type="dxa"/>
              <w:bottom w:w="60" w:type="dxa"/>
              <w:right w:w="120" w:type="dxa"/>
            </w:tcMar>
          </w:tcPr>
          <w:p w14:paraId="76BAB4D5" w14:textId="77777777" w:rsidR="00237FA3" w:rsidRDefault="0096550A">
            <w:pPr>
              <w:spacing w:after="40"/>
            </w:pPr>
            <w:r>
              <w:t>Annual review data (anonymised)</w:t>
            </w:r>
          </w:p>
        </w:tc>
        <w:tc>
          <w:tcPr>
            <w:tcW w:w="5526" w:type="dxa"/>
            <w:shd w:val="clear" w:color="auto" w:fill="FFFFFF"/>
            <w:tcMar>
              <w:top w:w="60" w:type="dxa"/>
              <w:left w:w="120" w:type="dxa"/>
              <w:bottom w:w="60" w:type="dxa"/>
              <w:right w:w="120" w:type="dxa"/>
            </w:tcMar>
          </w:tcPr>
          <w:p w14:paraId="76BAB4D6" w14:textId="77777777" w:rsidR="00237FA3" w:rsidRDefault="0096550A">
            <w:pPr>
              <w:spacing w:after="40"/>
            </w:pPr>
            <w:r>
              <w:t>Board and senior management. All identifying information removed before sharing.</w:t>
            </w:r>
          </w:p>
        </w:tc>
      </w:tr>
    </w:tbl>
    <w:p w14:paraId="76BAB4D8" w14:textId="77777777" w:rsidR="00237FA3" w:rsidRDefault="00237FA3">
      <w:pPr>
        <w:spacing w:after="60"/>
      </w:pPr>
    </w:p>
    <w:p w14:paraId="76BAB4D9" w14:textId="77777777" w:rsidR="00237FA3" w:rsidRDefault="0096550A">
      <w:pPr>
        <w:spacing w:after="60"/>
      </w:pPr>
      <w:r>
        <w:t>Applying RASCI to access control: the DSL is Responsible and Accountable for all safeguarding data. The Alternate DSL is Supportive. The board chair is Consulted only for Major cases and governance-level decisions. External safeguarding advisors are Informed only when directly engaged on a case. All others: no access.</w:t>
      </w:r>
    </w:p>
    <w:p w14:paraId="76BAB4DA" w14:textId="77777777" w:rsidR="00237FA3" w:rsidRDefault="00237FA3">
      <w:pPr>
        <w:pBdr>
          <w:bottom w:val="single" w:sz="6" w:space="4" w:color="1291D1"/>
        </w:pBdr>
        <w:spacing w:after="160"/>
      </w:pPr>
    </w:p>
    <w:p w14:paraId="76BAB4DB" w14:textId="77777777" w:rsidR="00237FA3" w:rsidRDefault="0096550A">
      <w:pPr>
        <w:spacing w:after="80"/>
      </w:pPr>
      <w:r>
        <w:rPr>
          <w:b/>
          <w:bCs/>
          <w:color w:val="0A5F8A"/>
          <w:sz w:val="26"/>
          <w:szCs w:val="26"/>
        </w:rPr>
        <w:t>4. Information Sharing — All Relevant Parties</w:t>
      </w:r>
    </w:p>
    <w:p w14:paraId="76BAB4DC" w14:textId="77777777" w:rsidR="00237FA3" w:rsidRDefault="0096550A">
      <w:pPr>
        <w:spacing w:after="60"/>
      </w:pPr>
      <w:r>
        <w:t>Safeguarding reporting involves sharing information with a range of parties. All sharing must comply with the need-to-know principle and GDPR.</w:t>
      </w: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237FA3" w14:paraId="76BAB4DE" w14:textId="77777777">
        <w:trPr>
          <w:gridAfter w:val="1"/>
        </w:trPr>
        <w:tc>
          <w:tcPr>
            <w:tcW w:w="3500" w:type="dxa"/>
            <w:shd w:val="clear" w:color="auto" w:fill="0A5F8A"/>
            <w:tcMar>
              <w:top w:w="80" w:type="dxa"/>
              <w:left w:w="120" w:type="dxa"/>
              <w:bottom w:w="80" w:type="dxa"/>
              <w:right w:w="120" w:type="dxa"/>
            </w:tcMar>
          </w:tcPr>
          <w:p w14:paraId="76BAB4DD" w14:textId="77777777" w:rsidR="00237FA3" w:rsidRDefault="0096550A">
            <w:r>
              <w:rPr>
                <w:b/>
                <w:bCs/>
                <w:color w:val="FFFFFF"/>
              </w:rPr>
              <w:t>Party</w:t>
            </w:r>
          </w:p>
        </w:tc>
      </w:tr>
      <w:tr w:rsidR="00237FA3" w14:paraId="76BAB4E1" w14:textId="77777777">
        <w:tc>
          <w:tcPr>
            <w:tcW w:w="3500" w:type="dxa"/>
            <w:shd w:val="clear" w:color="auto" w:fill="EBF6FC"/>
            <w:tcMar>
              <w:top w:w="60" w:type="dxa"/>
              <w:left w:w="120" w:type="dxa"/>
              <w:bottom w:w="60" w:type="dxa"/>
              <w:right w:w="120" w:type="dxa"/>
            </w:tcMar>
          </w:tcPr>
          <w:p w14:paraId="76BAB4DF" w14:textId="77777777" w:rsidR="00237FA3" w:rsidRDefault="0096550A">
            <w:pPr>
              <w:spacing w:after="40"/>
            </w:pPr>
            <w:r>
              <w:t>Person at risk</w:t>
            </w:r>
          </w:p>
        </w:tc>
        <w:tc>
          <w:tcPr>
            <w:tcW w:w="5526" w:type="dxa"/>
            <w:shd w:val="clear" w:color="auto" w:fill="FFFFFF"/>
            <w:tcMar>
              <w:top w:w="60" w:type="dxa"/>
              <w:left w:w="120" w:type="dxa"/>
              <w:bottom w:w="60" w:type="dxa"/>
              <w:right w:w="120" w:type="dxa"/>
            </w:tcMar>
          </w:tcPr>
          <w:p w14:paraId="76BAB4E0" w14:textId="77777777" w:rsidR="00237FA3" w:rsidRDefault="0096550A">
            <w:pPr>
              <w:spacing w:after="40"/>
            </w:pPr>
            <w:r>
              <w:t>What information is being shared, with whom, and why — told before sharing where possible. Kept informed throughout the case. In most cases their consent is sought (not required, but good practice where it does not compromise safety).</w:t>
            </w:r>
          </w:p>
        </w:tc>
      </w:tr>
      <w:tr w:rsidR="00237FA3" w14:paraId="76BAB4E4" w14:textId="77777777">
        <w:tc>
          <w:tcPr>
            <w:tcW w:w="3500" w:type="dxa"/>
            <w:shd w:val="clear" w:color="auto" w:fill="EBF6FC"/>
            <w:tcMar>
              <w:top w:w="60" w:type="dxa"/>
              <w:left w:w="120" w:type="dxa"/>
              <w:bottom w:w="60" w:type="dxa"/>
              <w:right w:w="120" w:type="dxa"/>
            </w:tcMar>
          </w:tcPr>
          <w:p w14:paraId="76BAB4E2" w14:textId="77777777" w:rsidR="00237FA3" w:rsidRDefault="0096550A">
            <w:pPr>
              <w:spacing w:after="40"/>
            </w:pPr>
            <w:r>
              <w:t>Person who raised the concern</w:t>
            </w:r>
          </w:p>
        </w:tc>
        <w:tc>
          <w:tcPr>
            <w:tcW w:w="5526" w:type="dxa"/>
            <w:shd w:val="clear" w:color="auto" w:fill="FFFFFF"/>
            <w:tcMar>
              <w:top w:w="60" w:type="dxa"/>
              <w:left w:w="120" w:type="dxa"/>
              <w:bottom w:w="60" w:type="dxa"/>
              <w:right w:w="120" w:type="dxa"/>
            </w:tcMar>
          </w:tcPr>
          <w:p w14:paraId="76BAB4E3" w14:textId="77777777" w:rsidR="00237FA3" w:rsidRDefault="0096550A">
            <w:pPr>
              <w:spacing w:after="40"/>
            </w:pPr>
            <w:r>
              <w:t>Confirmation that the concern was received and is being acted on. Not the full case details.</w:t>
            </w:r>
          </w:p>
        </w:tc>
      </w:tr>
      <w:tr w:rsidR="00237FA3" w14:paraId="76BAB4E7" w14:textId="77777777">
        <w:tc>
          <w:tcPr>
            <w:tcW w:w="3500" w:type="dxa"/>
            <w:shd w:val="clear" w:color="auto" w:fill="EBF6FC"/>
            <w:tcMar>
              <w:top w:w="60" w:type="dxa"/>
              <w:left w:w="120" w:type="dxa"/>
              <w:bottom w:w="60" w:type="dxa"/>
              <w:right w:w="120" w:type="dxa"/>
            </w:tcMar>
          </w:tcPr>
          <w:p w14:paraId="76BAB4E5" w14:textId="77777777" w:rsidR="00237FA3" w:rsidRDefault="0096550A">
            <w:pPr>
              <w:spacing w:after="40"/>
            </w:pPr>
            <w:r>
              <w:t>Alleged perpetrator</w:t>
            </w:r>
          </w:p>
        </w:tc>
        <w:tc>
          <w:tcPr>
            <w:tcW w:w="5526" w:type="dxa"/>
            <w:shd w:val="clear" w:color="auto" w:fill="FFFFFF"/>
            <w:tcMar>
              <w:top w:w="60" w:type="dxa"/>
              <w:left w:w="120" w:type="dxa"/>
              <w:bottom w:w="60" w:type="dxa"/>
              <w:right w:w="120" w:type="dxa"/>
            </w:tcMar>
          </w:tcPr>
          <w:p w14:paraId="76BAB4E6" w14:textId="77777777" w:rsidR="00237FA3" w:rsidRDefault="0096550A">
            <w:pPr>
              <w:spacing w:after="40"/>
            </w:pPr>
            <w:r>
              <w:t>That a concern has been raised, at the appropriate point in the process (see I4 Section 3). General nature of the concern. Not the full disclosure details or the identity of the reporter. Not the full case log.</w:t>
            </w:r>
          </w:p>
        </w:tc>
      </w:tr>
      <w:tr w:rsidR="00237FA3" w14:paraId="76BAB4EA" w14:textId="77777777">
        <w:tc>
          <w:tcPr>
            <w:tcW w:w="3500" w:type="dxa"/>
            <w:shd w:val="clear" w:color="auto" w:fill="EBF6FC"/>
            <w:tcMar>
              <w:top w:w="60" w:type="dxa"/>
              <w:left w:w="120" w:type="dxa"/>
              <w:bottom w:w="60" w:type="dxa"/>
              <w:right w:w="120" w:type="dxa"/>
            </w:tcMar>
          </w:tcPr>
          <w:p w14:paraId="76BAB4E8" w14:textId="77777777" w:rsidR="00237FA3" w:rsidRDefault="0096550A">
            <w:pPr>
              <w:spacing w:after="40"/>
            </w:pPr>
            <w:r>
              <w:lastRenderedPageBreak/>
              <w:t>Parents, caregivers and legal guardians</w:t>
            </w:r>
          </w:p>
        </w:tc>
        <w:tc>
          <w:tcPr>
            <w:tcW w:w="5526" w:type="dxa"/>
            <w:shd w:val="clear" w:color="auto" w:fill="FFFFFF"/>
            <w:tcMar>
              <w:top w:w="60" w:type="dxa"/>
              <w:left w:w="120" w:type="dxa"/>
              <w:bottom w:w="60" w:type="dxa"/>
              <w:right w:w="120" w:type="dxa"/>
            </w:tcMar>
          </w:tcPr>
          <w:p w14:paraId="76BAB4E9" w14:textId="77777777" w:rsidR="00237FA3" w:rsidRDefault="0096550A">
            <w:pPr>
              <w:spacing w:after="40"/>
            </w:pPr>
            <w:r>
              <w:t>Where the person at risk is a child or does not have capacity to consent: involved in the response as appropriate. Their contact details should be collected at the start of any project involving under-18s (R2 Consent Forms).</w:t>
            </w:r>
          </w:p>
        </w:tc>
      </w:tr>
      <w:tr w:rsidR="00237FA3" w14:paraId="76BAB4ED" w14:textId="77777777">
        <w:tc>
          <w:tcPr>
            <w:tcW w:w="3500" w:type="dxa"/>
            <w:shd w:val="clear" w:color="auto" w:fill="EBF6FC"/>
            <w:tcMar>
              <w:top w:w="60" w:type="dxa"/>
              <w:left w:w="120" w:type="dxa"/>
              <w:bottom w:w="60" w:type="dxa"/>
              <w:right w:w="120" w:type="dxa"/>
            </w:tcMar>
          </w:tcPr>
          <w:p w14:paraId="76BAB4EB" w14:textId="77777777" w:rsidR="00237FA3" w:rsidRDefault="0096550A">
            <w:pPr>
              <w:spacing w:after="40"/>
            </w:pPr>
            <w:r>
              <w:t>Partner organisations</w:t>
            </w:r>
          </w:p>
        </w:tc>
        <w:tc>
          <w:tcPr>
            <w:tcW w:w="5526" w:type="dxa"/>
            <w:shd w:val="clear" w:color="auto" w:fill="FFFFFF"/>
            <w:tcMar>
              <w:top w:w="60" w:type="dxa"/>
              <w:left w:w="120" w:type="dxa"/>
              <w:bottom w:w="60" w:type="dxa"/>
              <w:right w:w="120" w:type="dxa"/>
            </w:tcMar>
          </w:tcPr>
          <w:p w14:paraId="76BAB4EC" w14:textId="77777777" w:rsidR="00237FA3" w:rsidRDefault="0096550A">
            <w:pPr>
              <w:spacing w:after="40"/>
            </w:pPr>
            <w:r>
              <w:t>Information shared on need-to-know basis. Only the partner's named safeguarding contact receives case information. Cross-border: vital interests basis applies.</w:t>
            </w:r>
          </w:p>
        </w:tc>
      </w:tr>
      <w:tr w:rsidR="00237FA3" w14:paraId="76BAB4F0" w14:textId="77777777">
        <w:tc>
          <w:tcPr>
            <w:tcW w:w="3500" w:type="dxa"/>
            <w:shd w:val="clear" w:color="auto" w:fill="EBF6FC"/>
            <w:tcMar>
              <w:top w:w="60" w:type="dxa"/>
              <w:left w:w="120" w:type="dxa"/>
              <w:bottom w:w="60" w:type="dxa"/>
              <w:right w:w="120" w:type="dxa"/>
            </w:tcMar>
          </w:tcPr>
          <w:p w14:paraId="76BAB4EE" w14:textId="77777777" w:rsidR="00237FA3" w:rsidRDefault="0096550A">
            <w:pPr>
              <w:spacing w:after="40"/>
            </w:pPr>
            <w:r>
              <w:t>Statutory authorities</w:t>
            </w:r>
          </w:p>
        </w:tc>
        <w:tc>
          <w:tcPr>
            <w:tcW w:w="5526" w:type="dxa"/>
            <w:shd w:val="clear" w:color="auto" w:fill="FFFFFF"/>
            <w:tcMar>
              <w:top w:w="60" w:type="dxa"/>
              <w:left w:w="120" w:type="dxa"/>
              <w:bottom w:w="60" w:type="dxa"/>
              <w:right w:w="120" w:type="dxa"/>
            </w:tcMar>
          </w:tcPr>
          <w:p w14:paraId="76BAB4EF" w14:textId="77777777" w:rsidR="00237FA3" w:rsidRDefault="0096550A">
            <w:pPr>
              <w:spacing w:after="40"/>
            </w:pPr>
            <w:r>
              <w:t>Full disclosure as required for the referral. The DSL leads on this. Record what was shared, to whom and when.</w:t>
            </w:r>
          </w:p>
        </w:tc>
      </w:tr>
      <w:tr w:rsidR="00237FA3" w14:paraId="76BAB4F3" w14:textId="77777777">
        <w:tc>
          <w:tcPr>
            <w:tcW w:w="3500" w:type="dxa"/>
            <w:shd w:val="clear" w:color="auto" w:fill="EBF6FC"/>
            <w:tcMar>
              <w:top w:w="60" w:type="dxa"/>
              <w:left w:w="120" w:type="dxa"/>
              <w:bottom w:w="60" w:type="dxa"/>
              <w:right w:w="120" w:type="dxa"/>
            </w:tcMar>
          </w:tcPr>
          <w:p w14:paraId="76BAB4F1" w14:textId="77777777" w:rsidR="00237FA3" w:rsidRDefault="0096550A">
            <w:pPr>
              <w:spacing w:after="40"/>
            </w:pPr>
            <w:r>
              <w:t>Board and trustees</w:t>
            </w:r>
          </w:p>
        </w:tc>
        <w:tc>
          <w:tcPr>
            <w:tcW w:w="5526" w:type="dxa"/>
            <w:shd w:val="clear" w:color="auto" w:fill="FFFFFF"/>
            <w:tcMar>
              <w:top w:w="60" w:type="dxa"/>
              <w:left w:w="120" w:type="dxa"/>
              <w:bottom w:w="60" w:type="dxa"/>
              <w:right w:w="120" w:type="dxa"/>
            </w:tcMar>
          </w:tcPr>
          <w:p w14:paraId="76BAB4F2" w14:textId="77777777" w:rsidR="00237FA3" w:rsidRDefault="0096550A">
            <w:pPr>
              <w:spacing w:after="40"/>
            </w:pPr>
            <w:r>
              <w:t>Anonymised summary data at annual review (O4). Major cases: informed promptly. Individual case details: only what is needed for governance decisions.</w:t>
            </w:r>
          </w:p>
        </w:tc>
      </w:tr>
    </w:tbl>
    <w:p w14:paraId="76BAB4F4" w14:textId="77777777" w:rsidR="00237FA3" w:rsidRDefault="00237FA3">
      <w:pPr>
        <w:pBdr>
          <w:bottom w:val="single" w:sz="6" w:space="4" w:color="1291D1"/>
        </w:pBdr>
        <w:spacing w:after="160"/>
      </w:pPr>
    </w:p>
    <w:p w14:paraId="76BAB4F5" w14:textId="77777777" w:rsidR="00237FA3" w:rsidRDefault="0096550A">
      <w:pPr>
        <w:spacing w:after="80"/>
      </w:pPr>
      <w:r>
        <w:rPr>
          <w:b/>
          <w:bCs/>
          <w:color w:val="0A5F8A"/>
          <w:sz w:val="26"/>
          <w:szCs w:val="26"/>
        </w:rPr>
        <w:t>5. Storage and Security</w:t>
      </w:r>
    </w:p>
    <w:p w14:paraId="76BAB4F6" w14:textId="77777777" w:rsidR="00237FA3" w:rsidRDefault="0096550A">
      <w:pPr>
        <w:numPr>
          <w:ilvl w:val="0"/>
          <w:numId w:val="1"/>
        </w:numPr>
      </w:pPr>
      <w:r>
        <w:t>All safeguarding records stored in a password-protected, access-controlled system. Not on shared drives accessible to non-DSL staff.</w:t>
      </w:r>
    </w:p>
    <w:p w14:paraId="76BAB4F7" w14:textId="77777777" w:rsidR="00237FA3" w:rsidRDefault="0096550A">
      <w:pPr>
        <w:numPr>
          <w:ilvl w:val="0"/>
          <w:numId w:val="1"/>
        </w:numPr>
      </w:pPr>
      <w:r>
        <w:t>I1 Part C (Identity Index) stored in a separate, more restricted location from Parts A and B.</w:t>
      </w:r>
    </w:p>
    <w:p w14:paraId="76BAB4F8" w14:textId="77777777" w:rsidR="00237FA3" w:rsidRDefault="0096550A">
      <w:pPr>
        <w:numPr>
          <w:ilvl w:val="0"/>
          <w:numId w:val="1"/>
        </w:numPr>
      </w:pPr>
      <w:r>
        <w:t>Physical copies (printed incident forms, signed codes of conduct) stored in a locked cabinet accessible only to the DSL.</w:t>
      </w:r>
    </w:p>
    <w:p w14:paraId="76BAB4F9" w14:textId="77777777" w:rsidR="00237FA3" w:rsidRDefault="0096550A">
      <w:pPr>
        <w:numPr>
          <w:ilvl w:val="0"/>
          <w:numId w:val="1"/>
        </w:numPr>
      </w:pPr>
      <w:r>
        <w:t>No safeguarding information stored on personal devices, personal email accounts or unencrypted messaging platforms.</w:t>
      </w:r>
    </w:p>
    <w:p w14:paraId="76BAB4FA" w14:textId="77777777" w:rsidR="00237FA3" w:rsidRDefault="0096550A">
      <w:pPr>
        <w:numPr>
          <w:ilvl w:val="0"/>
          <w:numId w:val="1"/>
        </w:numPr>
        <w:spacing w:after="40"/>
      </w:pPr>
      <w:r>
        <w:t>Data breaches involving safeguarding data must be reported to your national data protection authority within 72 hours if they are likely to result in a risk to the rights and freedoms of the individuals involved. Notify the DSL and board immediately if a breach is suspected.</w:t>
      </w:r>
    </w:p>
    <w:p w14:paraId="76BAB4FB" w14:textId="77777777" w:rsidR="00237FA3" w:rsidRDefault="00237FA3">
      <w:pPr>
        <w:pBdr>
          <w:bottom w:val="single" w:sz="6" w:space="4" w:color="1291D1"/>
        </w:pBdr>
        <w:spacing w:after="160"/>
      </w:pPr>
    </w:p>
    <w:p w14:paraId="76BAB4FC" w14:textId="77777777" w:rsidR="00237FA3" w:rsidRDefault="0096550A">
      <w:pPr>
        <w:spacing w:after="80"/>
      </w:pPr>
      <w:r>
        <w:rPr>
          <w:b/>
          <w:bCs/>
          <w:color w:val="0A5F8A"/>
          <w:sz w:val="26"/>
          <w:szCs w:val="26"/>
        </w:rPr>
        <w:t>6. Pseudonymisation in Practice</w:t>
      </w:r>
    </w:p>
    <w:p w14:paraId="76BAB4FD" w14:textId="77777777" w:rsidR="00237FA3" w:rsidRDefault="0096550A">
      <w:pPr>
        <w:spacing w:after="60"/>
      </w:pPr>
      <w:r>
        <w:t>Pseudonymisation means replacing real names with reference codes so that case records cannot be linked to identifiable individuals without access to the Identity Index (I1 Part C).</w:t>
      </w:r>
    </w:p>
    <w:p w14:paraId="76BAB4FE" w14:textId="77777777" w:rsidR="00237FA3" w:rsidRDefault="0096550A">
      <w:pPr>
        <w:spacing w:after="60"/>
      </w:pPr>
      <w:r>
        <w:t>How it works in practice: when a concern is received, the DSL assigns a case reference code (e.g. "Case 2025-07") and individual codes for each party (e.g. "P-001" for the person at risk, "A-001" for the alleged perpetrator). All records — the incident form, the case log, the monitoring plan — use these codes. The only document that links codes to real names is I1 Part C, held only by the DSL and Alternate DSL.</w:t>
      </w:r>
    </w:p>
    <w:p w14:paraId="76BAB4FF" w14:textId="77777777" w:rsidR="00237FA3" w:rsidRDefault="0096550A">
      <w:pPr>
        <w:spacing w:after="60"/>
      </w:pPr>
      <w:r>
        <w:t>GDPR reference: pseudonymisation is a recognised technical security measure under GDPR Article 4(5) and Article 32. It does not make data anonymous — pseudonymised data remains personal data.</w:t>
      </w:r>
    </w:p>
    <w:p w14:paraId="76BAB500" w14:textId="77777777" w:rsidR="00237FA3" w:rsidRDefault="00237FA3">
      <w:pPr>
        <w:spacing w:after="60"/>
      </w:pPr>
    </w:p>
    <w:p w14:paraId="76BAB501" w14:textId="77777777" w:rsidR="00237FA3" w:rsidRDefault="00237FA3">
      <w:pPr>
        <w:spacing w:after="60"/>
      </w:pPr>
    </w:p>
    <w:p w14:paraId="76BAB502" w14:textId="77777777" w:rsidR="00237FA3" w:rsidRDefault="00237FA3">
      <w:pPr>
        <w:spacing w:after="60"/>
      </w:pPr>
    </w:p>
    <w:tbl>
      <w:tblPr>
        <w:tblStyle w:val="a3"/>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237FA3" w14:paraId="76BAB507" w14:textId="77777777">
        <w:tc>
          <w:tcPr>
            <w:tcW w:w="9026" w:type="dxa"/>
            <w:shd w:val="clear" w:color="auto" w:fill="EBF6FC"/>
            <w:tcMar>
              <w:top w:w="100" w:type="dxa"/>
              <w:left w:w="180" w:type="dxa"/>
              <w:bottom w:w="100" w:type="dxa"/>
              <w:right w:w="180" w:type="dxa"/>
            </w:tcMar>
          </w:tcPr>
          <w:p w14:paraId="76BAB503" w14:textId="77777777" w:rsidR="00237FA3" w:rsidRDefault="0096550A">
            <w:pPr>
              <w:spacing w:after="40"/>
            </w:pPr>
            <w:r>
              <w:rPr>
                <w:b/>
                <w:bCs/>
                <w:color w:val="0A5F8A"/>
              </w:rPr>
              <w:lastRenderedPageBreak/>
              <w:t>References</w:t>
            </w:r>
          </w:p>
          <w:p w14:paraId="76BAB504" w14:textId="77777777" w:rsidR="00237FA3" w:rsidRDefault="0096550A">
            <w:pPr>
              <w:spacing w:after="60"/>
            </w:pPr>
            <w:r>
              <w:t>GDPR Regulation (EU) 2016/679: Articles 4(5) (pseudonymisation), 5(1)(f) (integrity and confidentiality), 6(1)(b-d) (lawful bases), 9(2)(b-c-g) (special category data), 32 (security), 33 (breach notification).</w:t>
            </w:r>
          </w:p>
          <w:p w14:paraId="76BAB505" w14:textId="77777777" w:rsidR="00237FA3" w:rsidRDefault="0096550A">
            <w:r>
              <w:t>I1 Incident Form and Log — Parts A, B and C. F0 Section K (Confidentiality). Country Legal Supplement — retention periods by country.</w:t>
            </w:r>
          </w:p>
          <w:p w14:paraId="76BAB506" w14:textId="77777777" w:rsidR="00237FA3" w:rsidRDefault="0096550A">
            <w:r>
              <w:t>Glossary of Key Terms (Safe Spaces) — for definitions of all bolded terms in this document.</w:t>
            </w:r>
          </w:p>
        </w:tc>
      </w:tr>
    </w:tbl>
    <w:p w14:paraId="76BAB508" w14:textId="77777777" w:rsidR="00237FA3" w:rsidRDefault="00237FA3">
      <w:pPr>
        <w:widowControl w:val="0"/>
        <w:pBdr>
          <w:top w:val="nil"/>
          <w:left w:val="nil"/>
          <w:bottom w:val="nil"/>
          <w:right w:val="nil"/>
          <w:between w:val="nil"/>
        </w:pBdr>
        <w:spacing w:line="276" w:lineRule="auto"/>
      </w:pPr>
    </w:p>
    <w:p w14:paraId="76BAB509" w14:textId="77777777" w:rsidR="00237FA3" w:rsidRDefault="00237FA3">
      <w:pPr>
        <w:widowControl w:val="0"/>
        <w:pBdr>
          <w:top w:val="nil"/>
          <w:left w:val="nil"/>
          <w:bottom w:val="nil"/>
          <w:right w:val="nil"/>
          <w:between w:val="nil"/>
        </w:pBdr>
        <w:spacing w:line="276" w:lineRule="auto"/>
      </w:pPr>
    </w:p>
    <w:p w14:paraId="76BAB50A" w14:textId="77777777" w:rsidR="00237FA3" w:rsidRDefault="00237FA3">
      <w:pPr>
        <w:widowControl w:val="0"/>
        <w:pBdr>
          <w:top w:val="nil"/>
          <w:left w:val="nil"/>
          <w:bottom w:val="nil"/>
          <w:right w:val="nil"/>
          <w:between w:val="nil"/>
        </w:pBdr>
        <w:spacing w:line="276" w:lineRule="auto"/>
      </w:pPr>
    </w:p>
    <w:p w14:paraId="76BAB50B" w14:textId="77777777" w:rsidR="00237FA3" w:rsidRDefault="00237FA3">
      <w:pPr>
        <w:widowControl w:val="0"/>
        <w:pBdr>
          <w:top w:val="nil"/>
          <w:left w:val="nil"/>
          <w:bottom w:val="nil"/>
          <w:right w:val="nil"/>
          <w:between w:val="nil"/>
        </w:pBdr>
        <w:spacing w:line="276" w:lineRule="auto"/>
      </w:pPr>
    </w:p>
    <w:p w14:paraId="76BAB50C" w14:textId="77777777" w:rsidR="00237FA3" w:rsidRDefault="00237FA3">
      <w:pPr>
        <w:widowControl w:val="0"/>
        <w:pBdr>
          <w:top w:val="nil"/>
          <w:left w:val="nil"/>
          <w:bottom w:val="nil"/>
          <w:right w:val="nil"/>
          <w:between w:val="nil"/>
        </w:pBdr>
        <w:spacing w:line="276" w:lineRule="auto"/>
      </w:pPr>
    </w:p>
    <w:p w14:paraId="76BAB50D" w14:textId="77777777" w:rsidR="00237FA3" w:rsidRDefault="00237FA3">
      <w:pPr>
        <w:widowControl w:val="0"/>
        <w:pBdr>
          <w:top w:val="nil"/>
          <w:left w:val="nil"/>
          <w:bottom w:val="nil"/>
          <w:right w:val="nil"/>
          <w:between w:val="nil"/>
        </w:pBdr>
        <w:spacing w:line="276" w:lineRule="auto"/>
      </w:pPr>
    </w:p>
    <w:p w14:paraId="76BAB50E" w14:textId="77777777" w:rsidR="00237FA3" w:rsidRDefault="00237FA3">
      <w:pPr>
        <w:widowControl w:val="0"/>
        <w:pBdr>
          <w:top w:val="nil"/>
          <w:left w:val="nil"/>
          <w:bottom w:val="nil"/>
          <w:right w:val="nil"/>
          <w:between w:val="nil"/>
        </w:pBdr>
        <w:spacing w:line="276" w:lineRule="auto"/>
      </w:pPr>
    </w:p>
    <w:p w14:paraId="76BAB50F" w14:textId="77777777" w:rsidR="00237FA3" w:rsidRDefault="00237FA3">
      <w:pPr>
        <w:widowControl w:val="0"/>
        <w:pBdr>
          <w:top w:val="nil"/>
          <w:left w:val="nil"/>
          <w:bottom w:val="nil"/>
          <w:right w:val="nil"/>
          <w:between w:val="nil"/>
        </w:pBdr>
        <w:spacing w:line="276" w:lineRule="auto"/>
      </w:pPr>
    </w:p>
    <w:p w14:paraId="76BAB510" w14:textId="77777777" w:rsidR="00237FA3" w:rsidRDefault="00237FA3">
      <w:pPr>
        <w:widowControl w:val="0"/>
        <w:pBdr>
          <w:top w:val="nil"/>
          <w:left w:val="nil"/>
          <w:bottom w:val="nil"/>
          <w:right w:val="nil"/>
          <w:between w:val="nil"/>
        </w:pBdr>
        <w:spacing w:line="276" w:lineRule="auto"/>
      </w:pPr>
    </w:p>
    <w:p w14:paraId="76BAB511" w14:textId="77777777" w:rsidR="00237FA3" w:rsidRDefault="00237FA3">
      <w:pPr>
        <w:widowControl w:val="0"/>
        <w:pBdr>
          <w:top w:val="nil"/>
          <w:left w:val="nil"/>
          <w:bottom w:val="nil"/>
          <w:right w:val="nil"/>
          <w:between w:val="nil"/>
        </w:pBdr>
        <w:spacing w:line="276" w:lineRule="auto"/>
      </w:pPr>
    </w:p>
    <w:p w14:paraId="76BAB512" w14:textId="77777777" w:rsidR="00237FA3" w:rsidRDefault="00237FA3">
      <w:pPr>
        <w:widowControl w:val="0"/>
        <w:pBdr>
          <w:top w:val="nil"/>
          <w:left w:val="nil"/>
          <w:bottom w:val="nil"/>
          <w:right w:val="nil"/>
          <w:between w:val="nil"/>
        </w:pBdr>
        <w:spacing w:line="276" w:lineRule="auto"/>
      </w:pPr>
    </w:p>
    <w:p w14:paraId="76BAB513" w14:textId="77777777" w:rsidR="00237FA3" w:rsidRDefault="00237FA3">
      <w:pPr>
        <w:widowControl w:val="0"/>
        <w:pBdr>
          <w:top w:val="nil"/>
          <w:left w:val="nil"/>
          <w:bottom w:val="nil"/>
          <w:right w:val="nil"/>
          <w:between w:val="nil"/>
        </w:pBdr>
        <w:spacing w:line="276" w:lineRule="auto"/>
      </w:pPr>
    </w:p>
    <w:p w14:paraId="76BAB514" w14:textId="77777777" w:rsidR="00237FA3" w:rsidRDefault="00237FA3">
      <w:pPr>
        <w:widowControl w:val="0"/>
        <w:pBdr>
          <w:top w:val="nil"/>
          <w:left w:val="nil"/>
          <w:bottom w:val="nil"/>
          <w:right w:val="nil"/>
          <w:between w:val="nil"/>
        </w:pBdr>
        <w:spacing w:line="276" w:lineRule="auto"/>
      </w:pPr>
    </w:p>
    <w:p w14:paraId="76BAB515" w14:textId="77777777" w:rsidR="00237FA3" w:rsidRDefault="00237FA3">
      <w:pPr>
        <w:widowControl w:val="0"/>
        <w:pBdr>
          <w:top w:val="nil"/>
          <w:left w:val="nil"/>
          <w:bottom w:val="nil"/>
          <w:right w:val="nil"/>
          <w:between w:val="nil"/>
        </w:pBdr>
        <w:spacing w:line="276" w:lineRule="auto"/>
      </w:pPr>
    </w:p>
    <w:p w14:paraId="76BAB516" w14:textId="77777777" w:rsidR="00237FA3" w:rsidRDefault="00237FA3">
      <w:pPr>
        <w:widowControl w:val="0"/>
        <w:pBdr>
          <w:top w:val="nil"/>
          <w:left w:val="nil"/>
          <w:bottom w:val="nil"/>
          <w:right w:val="nil"/>
          <w:between w:val="nil"/>
        </w:pBdr>
        <w:spacing w:line="276" w:lineRule="auto"/>
      </w:pPr>
    </w:p>
    <w:p w14:paraId="76BAB517" w14:textId="77777777" w:rsidR="00237FA3" w:rsidRDefault="00237FA3">
      <w:pPr>
        <w:widowControl w:val="0"/>
        <w:pBdr>
          <w:top w:val="nil"/>
          <w:left w:val="nil"/>
          <w:bottom w:val="nil"/>
          <w:right w:val="nil"/>
          <w:between w:val="nil"/>
        </w:pBdr>
        <w:spacing w:line="276" w:lineRule="auto"/>
      </w:pPr>
    </w:p>
    <w:p w14:paraId="76BAB518" w14:textId="77777777" w:rsidR="00237FA3" w:rsidRDefault="00237FA3">
      <w:pPr>
        <w:widowControl w:val="0"/>
        <w:pBdr>
          <w:top w:val="nil"/>
          <w:left w:val="nil"/>
          <w:bottom w:val="nil"/>
          <w:right w:val="nil"/>
          <w:between w:val="nil"/>
        </w:pBdr>
        <w:spacing w:line="276" w:lineRule="auto"/>
      </w:pPr>
    </w:p>
    <w:p w14:paraId="76BAB519" w14:textId="77777777" w:rsidR="00237FA3" w:rsidRDefault="00237FA3">
      <w:pPr>
        <w:widowControl w:val="0"/>
        <w:pBdr>
          <w:top w:val="nil"/>
          <w:left w:val="nil"/>
          <w:bottom w:val="nil"/>
          <w:right w:val="nil"/>
          <w:between w:val="nil"/>
        </w:pBdr>
        <w:spacing w:line="276" w:lineRule="auto"/>
      </w:pPr>
    </w:p>
    <w:p w14:paraId="76BAB51A" w14:textId="77777777" w:rsidR="00237FA3" w:rsidRDefault="00237FA3">
      <w:pPr>
        <w:widowControl w:val="0"/>
        <w:pBdr>
          <w:top w:val="nil"/>
          <w:left w:val="nil"/>
          <w:bottom w:val="nil"/>
          <w:right w:val="nil"/>
          <w:between w:val="nil"/>
        </w:pBdr>
        <w:spacing w:line="276" w:lineRule="auto"/>
      </w:pPr>
    </w:p>
    <w:p w14:paraId="76BAB51B" w14:textId="77777777" w:rsidR="00237FA3" w:rsidRDefault="00237FA3">
      <w:pPr>
        <w:widowControl w:val="0"/>
        <w:pBdr>
          <w:top w:val="nil"/>
          <w:left w:val="nil"/>
          <w:bottom w:val="nil"/>
          <w:right w:val="nil"/>
          <w:between w:val="nil"/>
        </w:pBdr>
        <w:spacing w:line="276" w:lineRule="auto"/>
      </w:pPr>
    </w:p>
    <w:p w14:paraId="76BAB51C" w14:textId="77777777" w:rsidR="00237FA3" w:rsidRDefault="00237FA3">
      <w:pPr>
        <w:widowControl w:val="0"/>
        <w:pBdr>
          <w:top w:val="nil"/>
          <w:left w:val="nil"/>
          <w:bottom w:val="nil"/>
          <w:right w:val="nil"/>
          <w:between w:val="nil"/>
        </w:pBdr>
        <w:spacing w:line="276" w:lineRule="auto"/>
      </w:pPr>
    </w:p>
    <w:p w14:paraId="76BAB51D" w14:textId="77777777" w:rsidR="00237FA3" w:rsidRDefault="00237FA3">
      <w:pPr>
        <w:widowControl w:val="0"/>
        <w:pBdr>
          <w:top w:val="nil"/>
          <w:left w:val="nil"/>
          <w:bottom w:val="nil"/>
          <w:right w:val="nil"/>
          <w:between w:val="nil"/>
        </w:pBdr>
        <w:spacing w:line="276" w:lineRule="auto"/>
      </w:pPr>
    </w:p>
    <w:p w14:paraId="76BAB51E" w14:textId="77777777" w:rsidR="00237FA3" w:rsidRDefault="00237FA3">
      <w:pPr>
        <w:widowControl w:val="0"/>
        <w:pBdr>
          <w:top w:val="nil"/>
          <w:left w:val="nil"/>
          <w:bottom w:val="nil"/>
          <w:right w:val="nil"/>
          <w:between w:val="nil"/>
        </w:pBdr>
        <w:spacing w:line="276" w:lineRule="auto"/>
      </w:pPr>
    </w:p>
    <w:p w14:paraId="76BAB51F" w14:textId="77777777" w:rsidR="00237FA3" w:rsidRDefault="00237FA3">
      <w:pPr>
        <w:widowControl w:val="0"/>
        <w:pBdr>
          <w:top w:val="nil"/>
          <w:left w:val="nil"/>
          <w:bottom w:val="nil"/>
          <w:right w:val="nil"/>
          <w:between w:val="nil"/>
        </w:pBdr>
        <w:spacing w:line="276" w:lineRule="auto"/>
      </w:pPr>
    </w:p>
    <w:p w14:paraId="76BAB520" w14:textId="77777777" w:rsidR="00237FA3" w:rsidRDefault="00237FA3">
      <w:pPr>
        <w:widowControl w:val="0"/>
        <w:pBdr>
          <w:top w:val="nil"/>
          <w:left w:val="nil"/>
          <w:bottom w:val="nil"/>
          <w:right w:val="nil"/>
          <w:between w:val="nil"/>
        </w:pBdr>
        <w:spacing w:line="276" w:lineRule="auto"/>
      </w:pPr>
    </w:p>
    <w:p w14:paraId="76BAB521" w14:textId="77777777" w:rsidR="00237FA3" w:rsidRDefault="00237FA3">
      <w:pPr>
        <w:widowControl w:val="0"/>
        <w:pBdr>
          <w:top w:val="nil"/>
          <w:left w:val="nil"/>
          <w:bottom w:val="nil"/>
          <w:right w:val="nil"/>
          <w:between w:val="nil"/>
        </w:pBdr>
        <w:spacing w:line="276" w:lineRule="auto"/>
      </w:pPr>
    </w:p>
    <w:p w14:paraId="76BAB522" w14:textId="77777777" w:rsidR="00237FA3" w:rsidRDefault="00237FA3">
      <w:pPr>
        <w:widowControl w:val="0"/>
        <w:pBdr>
          <w:top w:val="nil"/>
          <w:left w:val="nil"/>
          <w:bottom w:val="nil"/>
          <w:right w:val="nil"/>
          <w:between w:val="nil"/>
        </w:pBdr>
        <w:spacing w:line="276" w:lineRule="auto"/>
      </w:pPr>
    </w:p>
    <w:p w14:paraId="76BAB523" w14:textId="77777777" w:rsidR="00237FA3" w:rsidRDefault="00237FA3">
      <w:pPr>
        <w:widowControl w:val="0"/>
        <w:pBdr>
          <w:top w:val="nil"/>
          <w:left w:val="nil"/>
          <w:bottom w:val="nil"/>
          <w:right w:val="nil"/>
          <w:between w:val="nil"/>
        </w:pBdr>
        <w:spacing w:line="276" w:lineRule="auto"/>
      </w:pPr>
    </w:p>
    <w:p w14:paraId="76BAB524" w14:textId="77777777" w:rsidR="00237FA3" w:rsidRDefault="00237FA3">
      <w:pPr>
        <w:widowControl w:val="0"/>
        <w:pBdr>
          <w:top w:val="nil"/>
          <w:left w:val="nil"/>
          <w:bottom w:val="nil"/>
          <w:right w:val="nil"/>
          <w:between w:val="nil"/>
        </w:pBdr>
        <w:spacing w:line="276" w:lineRule="auto"/>
      </w:pPr>
    </w:p>
    <w:p w14:paraId="76BAB525" w14:textId="77777777" w:rsidR="00237FA3" w:rsidRDefault="00237FA3">
      <w:pPr>
        <w:widowControl w:val="0"/>
        <w:pBdr>
          <w:top w:val="nil"/>
          <w:left w:val="nil"/>
          <w:bottom w:val="nil"/>
          <w:right w:val="nil"/>
          <w:between w:val="nil"/>
        </w:pBdr>
        <w:spacing w:line="276" w:lineRule="auto"/>
      </w:pPr>
    </w:p>
    <w:p w14:paraId="76BAB526" w14:textId="77777777" w:rsidR="00237FA3" w:rsidRDefault="00237FA3">
      <w:pPr>
        <w:widowControl w:val="0"/>
        <w:pBdr>
          <w:top w:val="nil"/>
          <w:left w:val="nil"/>
          <w:bottom w:val="nil"/>
          <w:right w:val="nil"/>
          <w:between w:val="nil"/>
        </w:pBdr>
        <w:spacing w:line="276" w:lineRule="auto"/>
      </w:pPr>
    </w:p>
    <w:p w14:paraId="76BAB527" w14:textId="77777777" w:rsidR="00237FA3" w:rsidRDefault="00237FA3">
      <w:pPr>
        <w:widowControl w:val="0"/>
        <w:pBdr>
          <w:top w:val="nil"/>
          <w:left w:val="nil"/>
          <w:bottom w:val="nil"/>
          <w:right w:val="nil"/>
          <w:between w:val="nil"/>
        </w:pBdr>
        <w:spacing w:line="276" w:lineRule="auto"/>
      </w:pPr>
    </w:p>
    <w:p w14:paraId="76BAB528" w14:textId="77777777" w:rsidR="00237FA3" w:rsidRDefault="00237FA3">
      <w:pPr>
        <w:widowControl w:val="0"/>
        <w:pBdr>
          <w:top w:val="nil"/>
          <w:left w:val="nil"/>
          <w:bottom w:val="nil"/>
          <w:right w:val="nil"/>
          <w:between w:val="nil"/>
        </w:pBdr>
        <w:spacing w:line="276" w:lineRule="auto"/>
      </w:pPr>
    </w:p>
    <w:p w14:paraId="76BAB529" w14:textId="77777777" w:rsidR="00237FA3" w:rsidRDefault="00237FA3">
      <w:pPr>
        <w:widowControl w:val="0"/>
        <w:pBdr>
          <w:top w:val="nil"/>
          <w:left w:val="nil"/>
          <w:bottom w:val="nil"/>
          <w:right w:val="nil"/>
          <w:between w:val="nil"/>
        </w:pBdr>
        <w:spacing w:line="276" w:lineRule="auto"/>
      </w:pPr>
    </w:p>
    <w:p w14:paraId="76BAB52A" w14:textId="77777777" w:rsidR="00237FA3" w:rsidRDefault="00237FA3">
      <w:pPr>
        <w:widowControl w:val="0"/>
        <w:pBdr>
          <w:top w:val="nil"/>
          <w:left w:val="nil"/>
          <w:bottom w:val="nil"/>
          <w:right w:val="nil"/>
          <w:between w:val="nil"/>
        </w:pBdr>
        <w:spacing w:line="276" w:lineRule="auto"/>
      </w:pPr>
    </w:p>
    <w:p w14:paraId="76BAB52B" w14:textId="77777777" w:rsidR="00237FA3" w:rsidRDefault="00237FA3">
      <w:pPr>
        <w:widowControl w:val="0"/>
        <w:pBdr>
          <w:top w:val="nil"/>
          <w:left w:val="nil"/>
          <w:bottom w:val="nil"/>
          <w:right w:val="nil"/>
          <w:between w:val="nil"/>
        </w:pBdr>
        <w:spacing w:line="276" w:lineRule="auto"/>
      </w:pPr>
    </w:p>
    <w:p w14:paraId="76BAB52C" w14:textId="77777777" w:rsidR="00237FA3" w:rsidRDefault="00237FA3">
      <w:pPr>
        <w:widowControl w:val="0"/>
        <w:pBdr>
          <w:top w:val="nil"/>
          <w:left w:val="nil"/>
          <w:bottom w:val="nil"/>
          <w:right w:val="nil"/>
          <w:between w:val="nil"/>
        </w:pBdr>
        <w:spacing w:line="276" w:lineRule="auto"/>
      </w:pPr>
    </w:p>
    <w:p w14:paraId="76BAB52D" w14:textId="77777777" w:rsidR="00237FA3" w:rsidRDefault="00237FA3">
      <w:pPr>
        <w:widowControl w:val="0"/>
        <w:pBdr>
          <w:top w:val="nil"/>
          <w:left w:val="nil"/>
          <w:bottom w:val="nil"/>
          <w:right w:val="nil"/>
          <w:between w:val="nil"/>
        </w:pBdr>
        <w:spacing w:line="276" w:lineRule="auto"/>
      </w:pPr>
    </w:p>
    <w:p w14:paraId="76BAB52E" w14:textId="77777777" w:rsidR="00237FA3" w:rsidRDefault="00237FA3">
      <w:pPr>
        <w:widowControl w:val="0"/>
        <w:pBdr>
          <w:top w:val="nil"/>
          <w:left w:val="nil"/>
          <w:bottom w:val="nil"/>
          <w:right w:val="nil"/>
          <w:between w:val="nil"/>
        </w:pBdr>
        <w:spacing w:line="276" w:lineRule="auto"/>
      </w:pPr>
    </w:p>
    <w:p w14:paraId="52B601C3" w14:textId="77777777" w:rsidR="00BF1223" w:rsidRDefault="00BF1223">
      <w:pPr>
        <w:spacing w:before="8040" w:after="100" w:line="276" w:lineRule="auto"/>
        <w:ind w:left="480" w:right="480"/>
        <w:jc w:val="both"/>
      </w:pPr>
    </w:p>
    <w:p w14:paraId="76BAB52F" w14:textId="0B33865B" w:rsidR="00237FA3" w:rsidRDefault="0096550A">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76BAB531" wp14:editId="76BAB532">
            <wp:simplePos x="0" y="0"/>
            <wp:positionH relativeFrom="column">
              <wp:posOffset>304800</wp:posOffset>
            </wp:positionH>
            <wp:positionV relativeFrom="paragraph">
              <wp:posOffset>4714875</wp:posOffset>
            </wp:positionV>
            <wp:extent cx="1552575" cy="190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76BAB530" w14:textId="77777777" w:rsidR="00237FA3" w:rsidRDefault="0096550A">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237FA3">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FE6A28" w14:textId="77777777" w:rsidR="0096550A" w:rsidRDefault="0096550A">
      <w:r>
        <w:separator/>
      </w:r>
    </w:p>
  </w:endnote>
  <w:endnote w:type="continuationSeparator" w:id="0">
    <w:p w14:paraId="0709CB91" w14:textId="77777777" w:rsidR="0096550A" w:rsidRDefault="00965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39A3870-E073-4446-B45C-D404313B4516}"/>
  </w:font>
  <w:font w:name="Montserrat">
    <w:panose1 w:val="00000000000000000000"/>
    <w:charset w:val="4D"/>
    <w:family w:val="auto"/>
    <w:pitch w:val="variable"/>
    <w:sig w:usb0="A00002FF" w:usb1="4000207B" w:usb2="00000000" w:usb3="00000000" w:csb0="00000197" w:csb1="00000000"/>
    <w:embedRegular r:id="rId2" w:fontKey="{E709AA08-C0BF-B741-A472-AF6EA55048FB}"/>
    <w:embedBold r:id="rId3" w:fontKey="{85C19B52-6763-D248-96A7-D98F51F99F87}"/>
    <w:embedItalic r:id="rId4" w:fontKey="{59B416EE-6597-104F-8307-C70EA367A42A}"/>
  </w:font>
  <w:font w:name="Georgia">
    <w:panose1 w:val="02040502050405020303"/>
    <w:charset w:val="00"/>
    <w:family w:val="roman"/>
    <w:pitch w:val="variable"/>
    <w:sig w:usb0="00000287" w:usb1="00000000" w:usb2="00000000" w:usb3="00000000" w:csb0="0000009F" w:csb1="00000000"/>
    <w:embedItalic r:id="rId5" w:fontKey="{FB4D72E3-9EFA-224F-A288-43952C62B93D}"/>
  </w:font>
  <w:font w:name="Calibri">
    <w:panose1 w:val="020F0502020204030204"/>
    <w:charset w:val="00"/>
    <w:family w:val="swiss"/>
    <w:pitch w:val="variable"/>
    <w:sig w:usb0="E4002EFF" w:usb1="C200247B" w:usb2="00000009" w:usb3="00000000" w:csb0="000001FF" w:csb1="00000000"/>
    <w:embedRegular r:id="rId6" w:fontKey="{D661182E-BC17-2F44-B510-851053F774EF}"/>
  </w:font>
  <w:font w:name="Cambria">
    <w:panose1 w:val="02040503050406030204"/>
    <w:charset w:val="00"/>
    <w:family w:val="roman"/>
    <w:pitch w:val="variable"/>
    <w:sig w:usb0="E00006FF" w:usb1="420024FF" w:usb2="02000000" w:usb3="00000000" w:csb0="0000019F" w:csb1="00000000"/>
    <w:embedRegular r:id="rId7" w:fontKey="{9C7439C2-5E0C-D04C-9542-55FC40B7D7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BAB534" w14:textId="77777777" w:rsidR="00237FA3" w:rsidRDefault="0096550A">
    <w:pPr>
      <w:pBdr>
        <w:top w:val="single" w:sz="8" w:space="4" w:color="1291D1"/>
      </w:pBdr>
      <w:spacing w:after="60"/>
      <w:jc w:val="center"/>
    </w:pPr>
    <w:r>
      <w:rPr>
        <w:noProof/>
      </w:rPr>
      <w:drawing>
        <wp:inline distT="0" distB="0" distL="0" distR="0" wp14:anchorId="76BAB538" wp14:editId="76BAB539">
          <wp:extent cx="1809750" cy="40005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76BAB535" w14:textId="77777777" w:rsidR="00237FA3" w:rsidRDefault="0096550A">
    <w:pPr>
      <w:spacing w:before="40"/>
      <w:jc w:val="center"/>
    </w:pPr>
    <w:r>
      <w:rPr>
        <w:color w:val="1291D1"/>
        <w:sz w:val="18"/>
        <w:szCs w:val="18"/>
      </w:rPr>
      <w:t xml:space="preserve"> </w:t>
    </w: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4F6747" w14:textId="77777777" w:rsidR="0096550A" w:rsidRDefault="0096550A">
      <w:r>
        <w:separator/>
      </w:r>
    </w:p>
  </w:footnote>
  <w:footnote w:type="continuationSeparator" w:id="0">
    <w:p w14:paraId="1B25FCFA" w14:textId="77777777" w:rsidR="0096550A" w:rsidRDefault="00965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BAB533" w14:textId="77777777" w:rsidR="00237FA3" w:rsidRDefault="0096550A">
    <w:pPr>
      <w:pBdr>
        <w:bottom w:val="single" w:sz="8" w:space="4" w:color="1291D1"/>
      </w:pBdr>
      <w:spacing w:after="80"/>
    </w:pPr>
    <w:r>
      <w:rPr>
        <w:noProof/>
      </w:rPr>
      <w:drawing>
        <wp:inline distT="0" distB="0" distL="0" distR="0" wp14:anchorId="76BAB536" wp14:editId="76BAB537">
          <wp:extent cx="1104900" cy="5905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B06E8C"/>
    <w:multiLevelType w:val="multilevel"/>
    <w:tmpl w:val="860AD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850374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FA3"/>
    <w:rsid w:val="00237FA3"/>
    <w:rsid w:val="0096550A"/>
    <w:rsid w:val="00BF1223"/>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76BAB4A6"/>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qt8yjj493Ff0Cn5sfpBulbAYCA==">CgMxLjA4AHIhMTR1dUNaZlY1R21GSV9QQ1RGRzFUd3FMUlpieDF2cXBv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1189</Words>
  <Characters>6781</Characters>
  <Application>Microsoft Office Word</Application>
  <DocSecurity>0</DocSecurity>
  <Lines>56</Lines>
  <Paragraphs>15</Paragraphs>
  <ScaleCrop>false</ScaleCrop>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2026-08-26T16:38:00Z</dcterms:created>
  <dcterms:modified xsi:type="dcterms:W3CDTF">2026-08-26T16:39:00Z</dcterms:modified>
</cp:coreProperties>
</file>