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3C5B5F" w14:textId="77777777" w:rsidR="00CD412E" w:rsidRDefault="00C24B66">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R5</w:t>
      </w:r>
      <w:r>
        <w:rPr>
          <w:b/>
          <w:bCs/>
          <w:color w:val="FFFFFF"/>
          <w:sz w:val="28"/>
          <w:szCs w:val="28"/>
        </w:rPr>
        <w:t xml:space="preserve"> Safeguarding in Specific Contexts</w:t>
      </w:r>
    </w:p>
    <w:p w14:paraId="543C5B60" w14:textId="77777777" w:rsidR="00CD412E" w:rsidRDefault="00C24B66">
      <w:pPr>
        <w:shd w:val="clear" w:color="auto" w:fill="0A5F8A"/>
        <w:spacing w:after="200"/>
      </w:pPr>
      <w:r>
        <w:rPr>
          <w:i/>
          <w:iCs/>
          <w:color w:val="B3D9F7"/>
          <w:sz w:val="18"/>
          <w:szCs w:val="18"/>
        </w:rPr>
        <w:t xml:space="preserve">   </w:t>
      </w:r>
      <w:r>
        <w:rPr>
          <w:i/>
          <w:iCs/>
          <w:color w:val="B3D9F7"/>
          <w:sz w:val="18"/>
          <w:szCs w:val="18"/>
        </w:rPr>
        <w:t>Radicalisation · Trafficking · FGM · Honour-Based Harm — awareness and referral guidance</w:t>
      </w:r>
    </w:p>
    <w:p w14:paraId="543C5B61" w14:textId="77777777" w:rsidR="00CD412E" w:rsidRDefault="00CD412E">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D412E" w14:paraId="543C5B65" w14:textId="77777777">
        <w:tc>
          <w:tcPr>
            <w:tcW w:w="9026" w:type="dxa"/>
            <w:shd w:val="clear" w:color="auto" w:fill="EBF6FC"/>
            <w:tcMar>
              <w:top w:w="100" w:type="dxa"/>
              <w:left w:w="180" w:type="dxa"/>
              <w:bottom w:w="100" w:type="dxa"/>
              <w:right w:w="180" w:type="dxa"/>
            </w:tcMar>
          </w:tcPr>
          <w:p w14:paraId="543C5B62" w14:textId="77777777" w:rsidR="00CD412E" w:rsidRDefault="00C24B66">
            <w:pPr>
              <w:spacing w:after="40"/>
            </w:pPr>
            <w:r>
              <w:rPr>
                <w:b/>
                <w:bCs/>
                <w:color w:val="0A5F8A"/>
              </w:rPr>
              <w:t>Purpose and scope</w:t>
            </w:r>
          </w:p>
          <w:p w14:paraId="543C5B63" w14:textId="77777777" w:rsidR="00CD412E" w:rsidRDefault="00C24B66">
            <w:pPr>
              <w:spacing w:after="60"/>
            </w:pPr>
            <w:r>
              <w:t>This document provides awareness-level guidance on four specific safeguarding contexts that may be relevant in international youth and mobility projects. It is not a substitute for specialist training. If you identify a concern in any of these areas, contact the DSL as soon as you are able. The DSL contacts specialist services.</w:t>
            </w:r>
          </w:p>
          <w:p w14:paraId="543C5B64" w14:textId="77777777" w:rsidR="00CD412E" w:rsidRDefault="00C24B66">
            <w:r>
              <w:t>For all four contexts: your role as a staff member or volunteer is to recognise and refer — not to investigate, assess, or treat.</w:t>
            </w:r>
          </w:p>
        </w:tc>
      </w:tr>
    </w:tbl>
    <w:p w14:paraId="543C5B66" w14:textId="77777777" w:rsidR="00CD412E" w:rsidRDefault="00CD412E">
      <w:pPr>
        <w:pBdr>
          <w:bottom w:val="single" w:sz="6" w:space="4" w:color="1291D1"/>
        </w:pBdr>
        <w:spacing w:after="160"/>
      </w:pPr>
    </w:p>
    <w:p w14:paraId="543C5B67" w14:textId="77777777" w:rsidR="00CD412E" w:rsidRDefault="00C24B66">
      <w:pPr>
        <w:spacing w:after="80"/>
      </w:pPr>
      <w:r>
        <w:rPr>
          <w:b/>
          <w:bCs/>
          <w:color w:val="0A5F8A"/>
          <w:sz w:val="26"/>
          <w:szCs w:val="26"/>
        </w:rPr>
        <w:t>1. Radicalisation</w:t>
      </w:r>
    </w:p>
    <w:p w14:paraId="543C5B68" w14:textId="77777777" w:rsidR="00CD412E" w:rsidRDefault="00CD412E">
      <w:pPr>
        <w:spacing w:after="60"/>
        <w:rPr>
          <w:b/>
          <w:bCs/>
          <w:color w:val="1291D1"/>
          <w:sz w:val="22"/>
          <w:szCs w:val="22"/>
        </w:rPr>
      </w:pPr>
    </w:p>
    <w:p w14:paraId="543C5B69" w14:textId="77777777" w:rsidR="00CD412E" w:rsidRDefault="00C24B66">
      <w:pPr>
        <w:spacing w:after="60"/>
      </w:pPr>
      <w:r>
        <w:rPr>
          <w:b/>
          <w:bCs/>
          <w:color w:val="1291D1"/>
          <w:sz w:val="22"/>
          <w:szCs w:val="22"/>
        </w:rPr>
        <w:t>1.1 What it is</w:t>
      </w:r>
    </w:p>
    <w:p w14:paraId="543C5B6A" w14:textId="77777777" w:rsidR="00CD412E" w:rsidRDefault="00C24B66">
      <w:pPr>
        <w:spacing w:after="60"/>
      </w:pPr>
      <w:r>
        <w:t>Radicalisation is the process by which a person comes to support or engage in extremism or terrorism. It is a gradual process, not a sudden event. Young people, people in crisis, and people who feel isolated or excluded are more susceptible — but radicalisation can affect anyone.</w:t>
      </w:r>
    </w:p>
    <w:p w14:paraId="543C5B6B" w14:textId="77777777" w:rsidR="00CD412E" w:rsidRDefault="00CD412E">
      <w:pPr>
        <w:spacing w:after="60"/>
        <w:rPr>
          <w:b/>
          <w:bCs/>
          <w:color w:val="1291D1"/>
          <w:sz w:val="22"/>
          <w:szCs w:val="22"/>
        </w:rPr>
      </w:pPr>
    </w:p>
    <w:p w14:paraId="543C5B6C" w14:textId="77777777" w:rsidR="00CD412E" w:rsidRDefault="00C24B66">
      <w:pPr>
        <w:spacing w:after="60"/>
      </w:pPr>
      <w:r>
        <w:rPr>
          <w:b/>
          <w:bCs/>
          <w:color w:val="1291D1"/>
          <w:sz w:val="22"/>
          <w:szCs w:val="22"/>
        </w:rPr>
        <w:t>1.2 Warning signs</w:t>
      </w:r>
    </w:p>
    <w:p w14:paraId="543C5B6D" w14:textId="77777777" w:rsidR="00CD412E" w:rsidRDefault="00C24B66">
      <w:pPr>
        <w:numPr>
          <w:ilvl w:val="0"/>
          <w:numId w:val="5"/>
        </w:numPr>
      </w:pPr>
      <w:r>
        <w:t>Sudden changes in behaviour, friendship groups or appearance.</w:t>
      </w:r>
    </w:p>
    <w:p w14:paraId="543C5B6E" w14:textId="77777777" w:rsidR="00CD412E" w:rsidRDefault="00C24B66">
      <w:pPr>
        <w:numPr>
          <w:ilvl w:val="0"/>
          <w:numId w:val="5"/>
        </w:numPr>
      </w:pPr>
      <w:r>
        <w:t>Expressing extreme, divisive or intolerant views — especially about a group of people.</w:t>
      </w:r>
    </w:p>
    <w:p w14:paraId="543C5B6F" w14:textId="77777777" w:rsidR="00CD412E" w:rsidRDefault="00C24B66">
      <w:pPr>
        <w:numPr>
          <w:ilvl w:val="0"/>
          <w:numId w:val="5"/>
        </w:numPr>
      </w:pPr>
      <w:r>
        <w:t>Showing support for extremist ideologies, groups or materials.</w:t>
      </w:r>
    </w:p>
    <w:p w14:paraId="543C5B70" w14:textId="77777777" w:rsidR="00CD412E" w:rsidRDefault="00C24B66">
      <w:pPr>
        <w:numPr>
          <w:ilvl w:val="0"/>
          <w:numId w:val="5"/>
        </w:numPr>
      </w:pPr>
      <w:r>
        <w:t>Expressing feelings of being persecuted, misunderstood, or a chosen avenger.</w:t>
      </w:r>
    </w:p>
    <w:p w14:paraId="543C5B71" w14:textId="77777777" w:rsidR="00CD412E" w:rsidRDefault="00C24B66">
      <w:pPr>
        <w:numPr>
          <w:ilvl w:val="0"/>
          <w:numId w:val="5"/>
        </w:numPr>
      </w:pPr>
      <w:r>
        <w:t>Accessing or sharing extremist material online.</w:t>
      </w:r>
    </w:p>
    <w:p w14:paraId="543C5B72" w14:textId="77777777" w:rsidR="00CD412E" w:rsidRDefault="00C24B66">
      <w:pPr>
        <w:numPr>
          <w:ilvl w:val="0"/>
          <w:numId w:val="5"/>
        </w:numPr>
      </w:pPr>
      <w:r>
        <w:t>Becoming secretive about their online activity or communications.</w:t>
      </w:r>
    </w:p>
    <w:p w14:paraId="543C5B73" w14:textId="77777777" w:rsidR="00CD412E" w:rsidRDefault="00C24B66">
      <w:pPr>
        <w:numPr>
          <w:ilvl w:val="0"/>
          <w:numId w:val="5"/>
        </w:numPr>
        <w:spacing w:after="40"/>
      </w:pPr>
      <w:r>
        <w:t>Seeking to recruit others to a cause.</w:t>
      </w:r>
    </w:p>
    <w:p w14:paraId="543C5B74" w14:textId="77777777" w:rsidR="00CD412E" w:rsidRDefault="00C24B66">
      <w:pPr>
        <w:spacing w:after="60"/>
      </w:pPr>
      <w:r>
        <w:t>One or two signs do not confirm radicalisation. A pattern, or an escalating pattern, warrants a report to the DSL.</w:t>
      </w:r>
    </w:p>
    <w:p w14:paraId="543C5B75" w14:textId="77777777" w:rsidR="00CD412E" w:rsidRDefault="00CD412E">
      <w:pPr>
        <w:spacing w:after="60"/>
        <w:rPr>
          <w:b/>
          <w:bCs/>
          <w:color w:val="1291D1"/>
          <w:sz w:val="22"/>
          <w:szCs w:val="22"/>
        </w:rPr>
      </w:pPr>
    </w:p>
    <w:p w14:paraId="543C5B76" w14:textId="77777777" w:rsidR="00CD412E" w:rsidRDefault="00C24B66">
      <w:pPr>
        <w:spacing w:after="60"/>
      </w:pPr>
      <w:r>
        <w:rPr>
          <w:b/>
          <w:bCs/>
          <w:color w:val="1291D1"/>
          <w:sz w:val="22"/>
          <w:szCs w:val="22"/>
        </w:rPr>
        <w:t>1.3 Referral pathway</w:t>
      </w:r>
    </w:p>
    <w:p w14:paraId="543C5B77" w14:textId="77777777" w:rsidR="00CD412E" w:rsidRDefault="00C24B66">
      <w:pPr>
        <w:spacing w:after="60"/>
      </w:pPr>
      <w:r>
        <w:t>Report to the DSL as soon as you are able. In the UK: Prevent (anti-radicalisation programme) — referrals via police or local authority. In EU countries: contact your national safeguarding body or police safeguarding unit. The Country Legal Supplement lists country-specific contacts.</w:t>
      </w:r>
    </w:p>
    <w:p w14:paraId="543C5B78" w14:textId="77777777" w:rsidR="00CD412E" w:rsidRDefault="00CD412E">
      <w:pPr>
        <w:spacing w:after="60"/>
        <w:rPr>
          <w:b/>
          <w:bCs/>
          <w:color w:val="1291D1"/>
          <w:sz w:val="22"/>
          <w:szCs w:val="22"/>
        </w:rPr>
      </w:pPr>
    </w:p>
    <w:p w14:paraId="543C5B79" w14:textId="77777777" w:rsidR="00CD412E" w:rsidRDefault="00C24B66">
      <w:pPr>
        <w:spacing w:after="60"/>
      </w:pPr>
      <w:r>
        <w:rPr>
          <w:b/>
          <w:bCs/>
          <w:color w:val="1291D1"/>
          <w:sz w:val="22"/>
          <w:szCs w:val="22"/>
        </w:rPr>
        <w:t>1.4 What NOT to do</w:t>
      </w:r>
    </w:p>
    <w:p w14:paraId="543C5B7A" w14:textId="77777777" w:rsidR="00CD412E" w:rsidRDefault="00C24B66">
      <w:pPr>
        <w:numPr>
          <w:ilvl w:val="0"/>
          <w:numId w:val="4"/>
        </w:numPr>
      </w:pPr>
      <w:r>
        <w:t>Do not challenge a person's views directly or confront them.</w:t>
      </w:r>
    </w:p>
    <w:p w14:paraId="543C5B7B" w14:textId="77777777" w:rsidR="00CD412E" w:rsidRDefault="00C24B66">
      <w:pPr>
        <w:numPr>
          <w:ilvl w:val="0"/>
          <w:numId w:val="4"/>
        </w:numPr>
      </w:pPr>
      <w:r>
        <w:t>Do not share your concerns with others before speaking to the DSL.</w:t>
      </w:r>
    </w:p>
    <w:p w14:paraId="543C5B7C" w14:textId="77777777" w:rsidR="00CD412E" w:rsidRDefault="00C24B66">
      <w:pPr>
        <w:numPr>
          <w:ilvl w:val="0"/>
          <w:numId w:val="4"/>
        </w:numPr>
      </w:pPr>
      <w:r>
        <w:t>Do not attempt to de-radicalise the person yourself.</w:t>
      </w:r>
    </w:p>
    <w:p w14:paraId="543C5B7D" w14:textId="77777777" w:rsidR="00CD412E" w:rsidRDefault="00C24B66">
      <w:pPr>
        <w:numPr>
          <w:ilvl w:val="0"/>
          <w:numId w:val="4"/>
        </w:numPr>
        <w:spacing w:after="40"/>
      </w:pPr>
      <w:r>
        <w:t>Do not dismiss concerns because the person "doesn't seem the type."</w:t>
      </w:r>
    </w:p>
    <w:p w14:paraId="543C5B7E" w14:textId="77777777" w:rsidR="00CD412E" w:rsidRDefault="00CD412E">
      <w:pPr>
        <w:pBdr>
          <w:bottom w:val="single" w:sz="6" w:space="4" w:color="1291D1"/>
        </w:pBdr>
        <w:spacing w:after="160"/>
      </w:pPr>
    </w:p>
    <w:p w14:paraId="543C5B7F" w14:textId="77777777" w:rsidR="00CD412E" w:rsidRDefault="00C24B66">
      <w:pPr>
        <w:spacing w:after="80"/>
      </w:pPr>
      <w:r>
        <w:rPr>
          <w:b/>
          <w:bCs/>
          <w:color w:val="0A5F8A"/>
          <w:sz w:val="26"/>
          <w:szCs w:val="26"/>
        </w:rPr>
        <w:lastRenderedPageBreak/>
        <w:t>2. Human Trafficking</w:t>
      </w:r>
    </w:p>
    <w:p w14:paraId="543C5B80" w14:textId="77777777" w:rsidR="00CD412E" w:rsidRDefault="00CD412E">
      <w:pPr>
        <w:spacing w:after="60"/>
        <w:rPr>
          <w:b/>
          <w:bCs/>
          <w:color w:val="1291D1"/>
          <w:sz w:val="22"/>
          <w:szCs w:val="22"/>
        </w:rPr>
      </w:pPr>
    </w:p>
    <w:p w14:paraId="543C5B81" w14:textId="77777777" w:rsidR="00CD412E" w:rsidRDefault="00C24B66">
      <w:pPr>
        <w:spacing w:after="60"/>
      </w:pPr>
      <w:r>
        <w:rPr>
          <w:b/>
          <w:bCs/>
          <w:color w:val="1291D1"/>
          <w:sz w:val="22"/>
          <w:szCs w:val="22"/>
        </w:rPr>
        <w:t>2.1 What it is</w:t>
      </w:r>
    </w:p>
    <w:p w14:paraId="543C5B82" w14:textId="77777777" w:rsidR="00CD412E" w:rsidRDefault="00C24B66">
      <w:pPr>
        <w:spacing w:after="60"/>
      </w:pPr>
      <w:r>
        <w:t>Human trafficking is the recruitment, transportation, transfer, harbouring or receipt of a person by means of threat, force, deception or abuse of power, for the purpose of exploitation. Exploitation includes sexual exploitation, forced labour, domestic servitude, criminal exploitation, and forced begging. A person can be trafficked within their own country, not only across borders.</w:t>
      </w:r>
    </w:p>
    <w:p w14:paraId="543C5B83" w14:textId="77777777" w:rsidR="00CD412E" w:rsidRDefault="00CD412E">
      <w:pPr>
        <w:spacing w:after="60"/>
        <w:rPr>
          <w:b/>
          <w:bCs/>
          <w:color w:val="1291D1"/>
          <w:sz w:val="22"/>
          <w:szCs w:val="22"/>
        </w:rPr>
      </w:pPr>
    </w:p>
    <w:p w14:paraId="543C5B84" w14:textId="77777777" w:rsidR="00CD412E" w:rsidRDefault="00C24B66">
      <w:pPr>
        <w:spacing w:after="60"/>
      </w:pPr>
      <w:r>
        <w:rPr>
          <w:b/>
          <w:bCs/>
          <w:color w:val="1291D1"/>
          <w:sz w:val="22"/>
          <w:szCs w:val="22"/>
        </w:rPr>
        <w:t>2.2 Warning signs</w:t>
      </w:r>
    </w:p>
    <w:p w14:paraId="543C5B85" w14:textId="77777777" w:rsidR="00CD412E" w:rsidRDefault="00C24B66">
      <w:pPr>
        <w:numPr>
          <w:ilvl w:val="0"/>
          <w:numId w:val="2"/>
        </w:numPr>
      </w:pPr>
      <w:r>
        <w:t>A person who seems disoriented, confused, or unaware of their location.</w:t>
      </w:r>
    </w:p>
    <w:p w14:paraId="543C5B86" w14:textId="77777777" w:rsidR="00CD412E" w:rsidRDefault="00C24B66">
      <w:pPr>
        <w:numPr>
          <w:ilvl w:val="0"/>
          <w:numId w:val="2"/>
        </w:numPr>
      </w:pPr>
      <w:r>
        <w:t>A person who does not have their own ID or travel documents.</w:t>
      </w:r>
    </w:p>
    <w:p w14:paraId="543C5B87" w14:textId="77777777" w:rsidR="00CD412E" w:rsidRDefault="00C24B66">
      <w:pPr>
        <w:numPr>
          <w:ilvl w:val="0"/>
          <w:numId w:val="2"/>
        </w:numPr>
      </w:pPr>
      <w:r>
        <w:t>A person who appears controlled, monitored, or scripted — as if coached on what to say.</w:t>
      </w:r>
    </w:p>
    <w:p w14:paraId="543C5B88" w14:textId="77777777" w:rsidR="00CD412E" w:rsidRDefault="00C24B66">
      <w:pPr>
        <w:numPr>
          <w:ilvl w:val="0"/>
          <w:numId w:val="2"/>
        </w:numPr>
      </w:pPr>
      <w:r>
        <w:t>Evidence of physical abuse, malnourishment or exhaustion.</w:t>
      </w:r>
    </w:p>
    <w:p w14:paraId="543C5B89" w14:textId="77777777" w:rsidR="00CD412E" w:rsidRDefault="00C24B66">
      <w:pPr>
        <w:numPr>
          <w:ilvl w:val="0"/>
          <w:numId w:val="2"/>
        </w:numPr>
      </w:pPr>
      <w:r>
        <w:t>A person who is reluctant to speak when alone, but speaks more freely when their companion is absent.</w:t>
      </w:r>
    </w:p>
    <w:p w14:paraId="543C5B8A" w14:textId="77777777" w:rsidR="00CD412E" w:rsidRDefault="00C24B66">
      <w:pPr>
        <w:numPr>
          <w:ilvl w:val="0"/>
          <w:numId w:val="2"/>
        </w:numPr>
        <w:spacing w:after="40"/>
      </w:pPr>
      <w:r>
        <w:t>A person who lives and works in the same place under others' control.</w:t>
      </w:r>
    </w:p>
    <w:p w14:paraId="543C5B8B" w14:textId="77777777" w:rsidR="00CD412E" w:rsidRDefault="00CD412E">
      <w:pPr>
        <w:spacing w:after="60"/>
        <w:rPr>
          <w:b/>
          <w:bCs/>
          <w:color w:val="1291D1"/>
          <w:sz w:val="22"/>
          <w:szCs w:val="22"/>
        </w:rPr>
      </w:pPr>
    </w:p>
    <w:p w14:paraId="543C5B8C" w14:textId="77777777" w:rsidR="00CD412E" w:rsidRDefault="00C24B66">
      <w:pPr>
        <w:spacing w:after="60"/>
      </w:pPr>
      <w:r>
        <w:rPr>
          <w:b/>
          <w:bCs/>
          <w:color w:val="1291D1"/>
          <w:sz w:val="22"/>
          <w:szCs w:val="22"/>
        </w:rPr>
        <w:t>2.3 Referral pathway</w:t>
      </w:r>
    </w:p>
    <w:p w14:paraId="543C5B8D" w14:textId="77777777" w:rsidR="00CD412E" w:rsidRDefault="00C24B66">
      <w:pPr>
        <w:spacing w:after="60"/>
      </w:pPr>
      <w:r>
        <w:t>Report to the DSL as soon as you are able. In the UK: the National Referral Mechanism (NRM) — police, social services or first responders submit a referral. In EU countries: contact police and/or the national anti-trafficking body. The Country Legal Supplement lists country-specific contacts.</w:t>
      </w:r>
    </w:p>
    <w:p w14:paraId="543C5B8E" w14:textId="77777777" w:rsidR="00CD412E" w:rsidRDefault="00CD412E">
      <w:pPr>
        <w:pBdr>
          <w:bottom w:val="single" w:sz="6" w:space="4" w:color="1291D1"/>
        </w:pBdr>
        <w:spacing w:after="160"/>
      </w:pPr>
    </w:p>
    <w:p w14:paraId="543C5B8F" w14:textId="77777777" w:rsidR="00CD412E" w:rsidRDefault="00C24B66">
      <w:pPr>
        <w:spacing w:after="80"/>
      </w:pPr>
      <w:r>
        <w:rPr>
          <w:b/>
          <w:bCs/>
          <w:color w:val="0A5F8A"/>
          <w:sz w:val="26"/>
          <w:szCs w:val="26"/>
        </w:rPr>
        <w:t>3. Female Genital Mutilation (FGM)</w:t>
      </w:r>
    </w:p>
    <w:p w14:paraId="543C5B90" w14:textId="77777777" w:rsidR="00CD412E" w:rsidRDefault="00CD412E">
      <w:pPr>
        <w:spacing w:after="60"/>
        <w:rPr>
          <w:b/>
          <w:bCs/>
          <w:color w:val="1291D1"/>
          <w:sz w:val="22"/>
          <w:szCs w:val="22"/>
        </w:rPr>
      </w:pPr>
    </w:p>
    <w:p w14:paraId="543C5B91" w14:textId="77777777" w:rsidR="00CD412E" w:rsidRDefault="00C24B66">
      <w:pPr>
        <w:spacing w:after="60"/>
      </w:pPr>
      <w:r>
        <w:rPr>
          <w:b/>
          <w:bCs/>
          <w:color w:val="1291D1"/>
          <w:sz w:val="22"/>
          <w:szCs w:val="22"/>
        </w:rPr>
        <w:t>3.1 What it is</w:t>
      </w:r>
    </w:p>
    <w:p w14:paraId="543C5B92" w14:textId="77777777" w:rsidR="00CD412E" w:rsidRDefault="00C24B66">
      <w:pPr>
        <w:spacing w:after="60"/>
      </w:pPr>
      <w:r>
        <w:t>FGM refers to all procedures involving partial or total removal of, or injury to, the external female genitalia for non-medical reasons. It is a form of child abuse and a human rights violation. FGM is usually carried out on girls between infancy and the age of 15, but it can also affect adult women. It is illegal in most countries.</w:t>
      </w:r>
    </w:p>
    <w:p w14:paraId="543C5B93" w14:textId="77777777" w:rsidR="00CD412E" w:rsidRDefault="00CD412E">
      <w:pPr>
        <w:spacing w:after="60"/>
        <w:rPr>
          <w:b/>
          <w:bCs/>
          <w:color w:val="1291D1"/>
          <w:sz w:val="22"/>
          <w:szCs w:val="22"/>
        </w:rPr>
      </w:pPr>
    </w:p>
    <w:p w14:paraId="543C5B94" w14:textId="77777777" w:rsidR="00CD412E" w:rsidRDefault="00C24B66">
      <w:pPr>
        <w:spacing w:after="60"/>
      </w:pPr>
      <w:r>
        <w:rPr>
          <w:b/>
          <w:bCs/>
          <w:color w:val="1291D1"/>
          <w:sz w:val="22"/>
          <w:szCs w:val="22"/>
        </w:rPr>
        <w:t>3.2 Warning signs</w:t>
      </w:r>
    </w:p>
    <w:p w14:paraId="543C5B95" w14:textId="77777777" w:rsidR="00CD412E" w:rsidRDefault="00C24B66">
      <w:pPr>
        <w:numPr>
          <w:ilvl w:val="0"/>
          <w:numId w:val="3"/>
        </w:numPr>
      </w:pPr>
      <w:r>
        <w:t>A girl who has a prolonged absence from a project or school around a school holiday or travel period.</w:t>
      </w:r>
    </w:p>
    <w:p w14:paraId="543C5B96" w14:textId="77777777" w:rsidR="00CD412E" w:rsidRDefault="00C24B66">
      <w:pPr>
        <w:numPr>
          <w:ilvl w:val="0"/>
          <w:numId w:val="3"/>
        </w:numPr>
      </w:pPr>
      <w:r>
        <w:t>A girl who mentions a special ceremony, "becoming a woman," or a trip to the country of origin.</w:t>
      </w:r>
    </w:p>
    <w:p w14:paraId="543C5B97" w14:textId="77777777" w:rsidR="00CD412E" w:rsidRDefault="00C24B66">
      <w:pPr>
        <w:numPr>
          <w:ilvl w:val="0"/>
          <w:numId w:val="3"/>
        </w:numPr>
      </w:pPr>
      <w:r>
        <w:t>A girl who shows signs of pain, difficulty walking or sitting.</w:t>
      </w:r>
    </w:p>
    <w:p w14:paraId="543C5B98" w14:textId="77777777" w:rsidR="00CD412E" w:rsidRDefault="00C24B66">
      <w:pPr>
        <w:numPr>
          <w:ilvl w:val="0"/>
          <w:numId w:val="3"/>
        </w:numPr>
      </w:pPr>
      <w:r>
        <w:t>A girl who expresses fear about a forthcoming trip to a family member's country.</w:t>
      </w:r>
    </w:p>
    <w:p w14:paraId="543C5B99" w14:textId="77777777" w:rsidR="00CD412E" w:rsidRDefault="00C24B66">
      <w:pPr>
        <w:numPr>
          <w:ilvl w:val="0"/>
          <w:numId w:val="3"/>
        </w:numPr>
        <w:spacing w:after="40"/>
      </w:pPr>
      <w:r>
        <w:t>A parent or community member making statements suggesting it is planned.</w:t>
      </w:r>
    </w:p>
    <w:p w14:paraId="543C5B9A" w14:textId="77777777" w:rsidR="00CD412E" w:rsidRDefault="00CD412E">
      <w:pPr>
        <w:spacing w:after="60"/>
        <w:rPr>
          <w:b/>
          <w:bCs/>
          <w:color w:val="1291D1"/>
          <w:sz w:val="22"/>
          <w:szCs w:val="22"/>
        </w:rPr>
      </w:pPr>
    </w:p>
    <w:p w14:paraId="543C5B9B" w14:textId="77777777" w:rsidR="00CD412E" w:rsidRDefault="00CD412E">
      <w:pPr>
        <w:spacing w:after="60"/>
        <w:rPr>
          <w:b/>
          <w:bCs/>
          <w:color w:val="1291D1"/>
          <w:sz w:val="22"/>
          <w:szCs w:val="22"/>
        </w:rPr>
      </w:pPr>
    </w:p>
    <w:p w14:paraId="543C5B9C" w14:textId="77777777" w:rsidR="00CD412E" w:rsidRDefault="00CD412E">
      <w:pPr>
        <w:spacing w:after="60"/>
        <w:rPr>
          <w:b/>
          <w:bCs/>
          <w:color w:val="1291D1"/>
          <w:sz w:val="22"/>
          <w:szCs w:val="22"/>
        </w:rPr>
      </w:pPr>
    </w:p>
    <w:p w14:paraId="543C5B9D" w14:textId="77777777" w:rsidR="00CD412E" w:rsidRDefault="00CD412E">
      <w:pPr>
        <w:spacing w:after="60"/>
        <w:rPr>
          <w:b/>
          <w:bCs/>
          <w:color w:val="1291D1"/>
          <w:sz w:val="22"/>
          <w:szCs w:val="22"/>
        </w:rPr>
      </w:pPr>
    </w:p>
    <w:p w14:paraId="543C5B9E" w14:textId="77777777" w:rsidR="00CD412E" w:rsidRDefault="00C24B66">
      <w:pPr>
        <w:spacing w:after="60"/>
      </w:pPr>
      <w:r>
        <w:rPr>
          <w:b/>
          <w:bCs/>
          <w:color w:val="1291D1"/>
          <w:sz w:val="22"/>
          <w:szCs w:val="22"/>
        </w:rPr>
        <w:t>3.3 Mandatory reporting</w:t>
      </w: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D412E" w14:paraId="543C5BA3" w14:textId="77777777">
        <w:tc>
          <w:tcPr>
            <w:tcW w:w="9026" w:type="dxa"/>
            <w:shd w:val="clear" w:color="auto" w:fill="EBF6FC"/>
            <w:tcMar>
              <w:top w:w="100" w:type="dxa"/>
              <w:left w:w="180" w:type="dxa"/>
              <w:bottom w:w="100" w:type="dxa"/>
              <w:right w:w="180" w:type="dxa"/>
            </w:tcMar>
          </w:tcPr>
          <w:p w14:paraId="543C5B9F" w14:textId="77777777" w:rsidR="00CD412E" w:rsidRDefault="00C24B66">
            <w:pPr>
              <w:spacing w:after="40"/>
            </w:pPr>
            <w:r>
              <w:rPr>
                <w:b/>
                <w:bCs/>
                <w:color w:val="C0392B"/>
              </w:rPr>
              <w:lastRenderedPageBreak/>
              <w:t>Mandatory reporting obligations vary by country</w:t>
            </w:r>
          </w:p>
          <w:p w14:paraId="543C5BA0" w14:textId="77777777" w:rsidR="00CD412E" w:rsidRDefault="00C24B66">
            <w:pPr>
              <w:spacing w:after="60"/>
            </w:pPr>
            <w:r>
              <w:t>Many countries have statutory mandatory reporting obligations for FGM, particularly for regulated professionals such as healthcare workers, social workers and teachers. The specific obligations depend on the legal framework in the country where you are working. Check the Country Legal Supplement for the requirements in your country.</w:t>
            </w:r>
          </w:p>
          <w:p w14:paraId="543C5BA1" w14:textId="77777777" w:rsidR="00CD412E" w:rsidRDefault="00C24B66">
            <w:pPr>
              <w:spacing w:after="60"/>
            </w:pPr>
            <w:r>
              <w:t>Regardless of whether a statutory mandatory reporting obligation exists in your country: reporting a concern about FGM to the DSL is a professional and ethical obligation for all staff and volunteers in this framework. It is always the right thing to do.</w:t>
            </w:r>
          </w:p>
          <w:p w14:paraId="543C5BA2" w14:textId="77777777" w:rsidR="00CD412E" w:rsidRDefault="00C24B66">
            <w:pPr>
              <w:spacing w:after="60"/>
            </w:pPr>
            <w:r>
              <w:t>If you are uncertain about your specific legal obligations in your country, check the Country Legal Supplement and contact your DSL.</w:t>
            </w:r>
          </w:p>
        </w:tc>
      </w:tr>
    </w:tbl>
    <w:p w14:paraId="543C5BA4" w14:textId="77777777" w:rsidR="00CD412E" w:rsidRDefault="00CD412E">
      <w:pPr>
        <w:spacing w:after="60"/>
        <w:rPr>
          <w:b/>
          <w:bCs/>
          <w:color w:val="1291D1"/>
          <w:sz w:val="22"/>
          <w:szCs w:val="22"/>
        </w:rPr>
      </w:pPr>
    </w:p>
    <w:p w14:paraId="543C5BA5" w14:textId="77777777" w:rsidR="00CD412E" w:rsidRDefault="00C24B66">
      <w:pPr>
        <w:spacing w:after="60"/>
      </w:pPr>
      <w:r>
        <w:rPr>
          <w:b/>
          <w:bCs/>
          <w:color w:val="1291D1"/>
          <w:sz w:val="22"/>
          <w:szCs w:val="22"/>
        </w:rPr>
        <w:t>3.4 Referral pathway</w:t>
      </w:r>
    </w:p>
    <w:p w14:paraId="543C5BA6" w14:textId="77777777" w:rsidR="00CD412E" w:rsidRDefault="00C24B66">
      <w:pPr>
        <w:spacing w:after="60"/>
      </w:pPr>
      <w:r>
        <w:t>Report to the DSL as soon as you are able. DSL contacts child protection services and/or police. In many EU countries, reporting concerns about FGM is a professional duty even where it is not a statutory mandatory reporting obligation. The Country Legal Supplement lists country-specific requirements.</w:t>
      </w:r>
    </w:p>
    <w:p w14:paraId="543C5BA7" w14:textId="77777777" w:rsidR="00CD412E" w:rsidRDefault="00CD412E">
      <w:pPr>
        <w:pBdr>
          <w:bottom w:val="single" w:sz="6" w:space="4" w:color="1291D1"/>
        </w:pBdr>
        <w:spacing w:after="160"/>
      </w:pPr>
    </w:p>
    <w:p w14:paraId="543C5BA8" w14:textId="77777777" w:rsidR="00CD412E" w:rsidRDefault="00C24B66">
      <w:pPr>
        <w:spacing w:after="80"/>
      </w:pPr>
      <w:r>
        <w:rPr>
          <w:b/>
          <w:bCs/>
          <w:color w:val="0A5F8A"/>
          <w:sz w:val="26"/>
          <w:szCs w:val="26"/>
        </w:rPr>
        <w:t>4. Honour-Based Harm (HBH)</w:t>
      </w:r>
    </w:p>
    <w:p w14:paraId="543C5BA9" w14:textId="77777777" w:rsidR="00CD412E" w:rsidRDefault="00CD412E">
      <w:pPr>
        <w:spacing w:after="60"/>
        <w:rPr>
          <w:b/>
          <w:bCs/>
          <w:color w:val="1291D1"/>
          <w:sz w:val="22"/>
          <w:szCs w:val="22"/>
        </w:rPr>
      </w:pPr>
    </w:p>
    <w:p w14:paraId="543C5BAA" w14:textId="77777777" w:rsidR="00CD412E" w:rsidRDefault="00C24B66">
      <w:pPr>
        <w:spacing w:after="60"/>
      </w:pPr>
      <w:r>
        <w:rPr>
          <w:b/>
          <w:bCs/>
          <w:color w:val="1291D1"/>
          <w:sz w:val="22"/>
          <w:szCs w:val="22"/>
        </w:rPr>
        <w:t>4.1 What it is</w:t>
      </w:r>
    </w:p>
    <w:p w14:paraId="543C5BAB" w14:textId="77777777" w:rsidR="00CD412E" w:rsidRDefault="00C24B66">
      <w:pPr>
        <w:spacing w:after="60"/>
      </w:pPr>
      <w:r>
        <w:t>Honour-based harm is a term used to describe a collection of practices used to control behaviour within families or communities to protect perceived cultural and religious beliefs and/or honour. Violence can occur when perpetrators feel that a relative has shamed the family or community by, for example, having a relationship with someone of whom the family disapproves; having sexual contact outside marriage; or not conforming to gender expectations.</w:t>
      </w:r>
    </w:p>
    <w:p w14:paraId="543C5BAC" w14:textId="77777777" w:rsidR="00CD412E" w:rsidRDefault="00C24B66">
      <w:pPr>
        <w:spacing w:after="60"/>
      </w:pPr>
      <w:r>
        <w:t>Honour-based harm can affect men and boys as well as women and girls.</w:t>
      </w:r>
    </w:p>
    <w:p w14:paraId="543C5BAD" w14:textId="77777777" w:rsidR="00CD412E" w:rsidRDefault="00CD412E">
      <w:pPr>
        <w:spacing w:after="60"/>
        <w:rPr>
          <w:b/>
          <w:bCs/>
          <w:color w:val="1291D1"/>
          <w:sz w:val="22"/>
          <w:szCs w:val="22"/>
        </w:rPr>
      </w:pPr>
    </w:p>
    <w:p w14:paraId="543C5BAE" w14:textId="77777777" w:rsidR="00CD412E" w:rsidRDefault="00C24B66">
      <w:pPr>
        <w:spacing w:after="60"/>
      </w:pPr>
      <w:r>
        <w:rPr>
          <w:b/>
          <w:bCs/>
          <w:color w:val="1291D1"/>
          <w:sz w:val="22"/>
          <w:szCs w:val="22"/>
        </w:rPr>
        <w:t>4.2 Warning signs</w:t>
      </w:r>
    </w:p>
    <w:p w14:paraId="543C5BAF" w14:textId="77777777" w:rsidR="00CD412E" w:rsidRDefault="00C24B66">
      <w:pPr>
        <w:numPr>
          <w:ilvl w:val="0"/>
          <w:numId w:val="1"/>
        </w:numPr>
      </w:pPr>
      <w:r>
        <w:t>A young person who expresses fear about what their family will do if they do something of which the family disapproves.</w:t>
      </w:r>
    </w:p>
    <w:p w14:paraId="543C5BB0" w14:textId="77777777" w:rsidR="00CD412E" w:rsidRDefault="00C24B66">
      <w:pPr>
        <w:numPr>
          <w:ilvl w:val="0"/>
          <w:numId w:val="1"/>
        </w:numPr>
      </w:pPr>
      <w:r>
        <w:t>A young person who is being isolated from friends, controlled in their movements, or monitored by family members.</w:t>
      </w:r>
    </w:p>
    <w:p w14:paraId="543C5BB1" w14:textId="77777777" w:rsidR="00CD412E" w:rsidRDefault="00C24B66">
      <w:pPr>
        <w:numPr>
          <w:ilvl w:val="0"/>
          <w:numId w:val="1"/>
        </w:numPr>
      </w:pPr>
      <w:r>
        <w:t>A sudden change in behaviour — withdrawal, anxiety, depression.</w:t>
      </w:r>
    </w:p>
    <w:p w14:paraId="543C5BB2" w14:textId="77777777" w:rsidR="00CD412E" w:rsidRDefault="00C24B66">
      <w:pPr>
        <w:numPr>
          <w:ilvl w:val="0"/>
          <w:numId w:val="1"/>
        </w:numPr>
      </w:pPr>
      <w:r>
        <w:t>Being stopped from accessing education or leaving home.</w:t>
      </w:r>
    </w:p>
    <w:p w14:paraId="543C5BB3" w14:textId="77777777" w:rsidR="00CD412E" w:rsidRDefault="00C24B66">
      <w:pPr>
        <w:numPr>
          <w:ilvl w:val="0"/>
          <w:numId w:val="1"/>
        </w:numPr>
        <w:spacing w:after="40"/>
      </w:pPr>
      <w:r>
        <w:t>Signs of physical abuse.</w:t>
      </w:r>
    </w:p>
    <w:p w14:paraId="543C5BB4" w14:textId="77777777" w:rsidR="00CD412E" w:rsidRDefault="00CD412E">
      <w:pPr>
        <w:spacing w:after="60"/>
        <w:rPr>
          <w:b/>
          <w:bCs/>
          <w:color w:val="1291D1"/>
          <w:sz w:val="22"/>
          <w:szCs w:val="22"/>
        </w:rPr>
      </w:pPr>
    </w:p>
    <w:p w14:paraId="543C5BB5" w14:textId="77777777" w:rsidR="00CD412E" w:rsidRDefault="00C24B66">
      <w:pPr>
        <w:spacing w:after="60"/>
      </w:pPr>
      <w:r>
        <w:rPr>
          <w:b/>
          <w:bCs/>
          <w:color w:val="1291D1"/>
          <w:sz w:val="22"/>
          <w:szCs w:val="22"/>
        </w:rPr>
        <w:t>4.3 Referral pathway</w:t>
      </w:r>
    </w:p>
    <w:p w14:paraId="543C5BB6" w14:textId="77777777" w:rsidR="00CD412E" w:rsidRDefault="00C24B66">
      <w:pPr>
        <w:spacing w:after="60"/>
      </w:pPr>
      <w:r>
        <w:t>Report to the DSL as soon as you are able. In the UK: FMU (Forced Marriage Unit): 0207 008 0151 or fmu@fcdo.gov.uk. Police. Honour-based violence specialists. In EU countries: police and specialist NGOs. The Country Legal Supplement lists country-specific contacts.</w:t>
      </w:r>
    </w:p>
    <w:p w14:paraId="543C5BB7" w14:textId="77777777" w:rsidR="00CD412E" w:rsidRDefault="00CD412E">
      <w:pPr>
        <w:spacing w:after="4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D412E" w14:paraId="543C5BBB" w14:textId="77777777">
        <w:tc>
          <w:tcPr>
            <w:tcW w:w="9026" w:type="dxa"/>
            <w:shd w:val="clear" w:color="auto" w:fill="EBF6FC"/>
            <w:tcMar>
              <w:top w:w="100" w:type="dxa"/>
              <w:left w:w="180" w:type="dxa"/>
              <w:bottom w:w="100" w:type="dxa"/>
              <w:right w:w="180" w:type="dxa"/>
            </w:tcMar>
          </w:tcPr>
          <w:p w14:paraId="543C5BB8" w14:textId="77777777" w:rsidR="00CD412E" w:rsidRDefault="00C24B66">
            <w:pPr>
              <w:spacing w:after="40"/>
            </w:pPr>
            <w:r>
              <w:rPr>
                <w:b/>
                <w:bCs/>
                <w:color w:val="0A5F8A"/>
              </w:rPr>
              <w:t>References</w:t>
            </w:r>
          </w:p>
          <w:p w14:paraId="543C5BB9" w14:textId="77777777" w:rsidR="00CD412E" w:rsidRDefault="00C24B66">
            <w:r>
              <w:lastRenderedPageBreak/>
              <w:t>EU Trafficking Directive 2011/36/EU. Council of Europe Istanbul Convention (violence against women and girls). Country Legal Supplement (Safe Spaces) — national contacts and obligations by country.</w:t>
            </w:r>
          </w:p>
          <w:p w14:paraId="543C5BBA" w14:textId="77777777" w:rsidR="00CD412E" w:rsidRDefault="00C24B66">
            <w:r>
              <w:t>Glossary of Key Terms (Safe Spaces) — for definitions of all bolded terms in this document.</w:t>
            </w:r>
          </w:p>
        </w:tc>
      </w:tr>
    </w:tbl>
    <w:p w14:paraId="543C5BBC" w14:textId="77777777" w:rsidR="00CD412E" w:rsidRDefault="00CD412E">
      <w:pPr>
        <w:widowControl w:val="0"/>
        <w:pBdr>
          <w:top w:val="nil"/>
          <w:left w:val="nil"/>
          <w:bottom w:val="nil"/>
          <w:right w:val="nil"/>
          <w:between w:val="nil"/>
        </w:pBdr>
        <w:spacing w:line="276" w:lineRule="auto"/>
      </w:pPr>
    </w:p>
    <w:p w14:paraId="543C5BBD" w14:textId="77777777" w:rsidR="00CD412E" w:rsidRDefault="00CD412E">
      <w:pPr>
        <w:widowControl w:val="0"/>
        <w:pBdr>
          <w:top w:val="nil"/>
          <w:left w:val="nil"/>
          <w:bottom w:val="nil"/>
          <w:right w:val="nil"/>
          <w:between w:val="nil"/>
        </w:pBdr>
        <w:spacing w:line="276" w:lineRule="auto"/>
      </w:pPr>
    </w:p>
    <w:p w14:paraId="543C5BBE" w14:textId="77777777" w:rsidR="00CD412E" w:rsidRDefault="00CD412E">
      <w:pPr>
        <w:widowControl w:val="0"/>
        <w:pBdr>
          <w:top w:val="nil"/>
          <w:left w:val="nil"/>
          <w:bottom w:val="nil"/>
          <w:right w:val="nil"/>
          <w:between w:val="nil"/>
        </w:pBdr>
        <w:spacing w:line="276" w:lineRule="auto"/>
      </w:pPr>
    </w:p>
    <w:p w14:paraId="543C5BBF" w14:textId="77777777" w:rsidR="00CD412E" w:rsidRDefault="00CD412E">
      <w:pPr>
        <w:widowControl w:val="0"/>
        <w:pBdr>
          <w:top w:val="nil"/>
          <w:left w:val="nil"/>
          <w:bottom w:val="nil"/>
          <w:right w:val="nil"/>
          <w:between w:val="nil"/>
        </w:pBdr>
        <w:spacing w:line="276" w:lineRule="auto"/>
      </w:pPr>
    </w:p>
    <w:p w14:paraId="543C5BC0" w14:textId="77777777" w:rsidR="00CD412E" w:rsidRDefault="00CD412E">
      <w:pPr>
        <w:widowControl w:val="0"/>
        <w:pBdr>
          <w:top w:val="nil"/>
          <w:left w:val="nil"/>
          <w:bottom w:val="nil"/>
          <w:right w:val="nil"/>
          <w:between w:val="nil"/>
        </w:pBdr>
        <w:spacing w:line="276" w:lineRule="auto"/>
      </w:pPr>
    </w:p>
    <w:p w14:paraId="543C5BC1" w14:textId="77777777" w:rsidR="00CD412E" w:rsidRDefault="00CD412E">
      <w:pPr>
        <w:widowControl w:val="0"/>
        <w:pBdr>
          <w:top w:val="nil"/>
          <w:left w:val="nil"/>
          <w:bottom w:val="nil"/>
          <w:right w:val="nil"/>
          <w:between w:val="nil"/>
        </w:pBdr>
        <w:spacing w:line="276" w:lineRule="auto"/>
      </w:pPr>
    </w:p>
    <w:p w14:paraId="543C5BC2" w14:textId="77777777" w:rsidR="00CD412E" w:rsidRDefault="00CD412E">
      <w:pPr>
        <w:widowControl w:val="0"/>
        <w:pBdr>
          <w:top w:val="nil"/>
          <w:left w:val="nil"/>
          <w:bottom w:val="nil"/>
          <w:right w:val="nil"/>
          <w:between w:val="nil"/>
        </w:pBdr>
        <w:spacing w:line="276" w:lineRule="auto"/>
      </w:pPr>
    </w:p>
    <w:p w14:paraId="543C5BC3" w14:textId="77777777" w:rsidR="00CD412E" w:rsidRDefault="00CD412E">
      <w:pPr>
        <w:widowControl w:val="0"/>
        <w:pBdr>
          <w:top w:val="nil"/>
          <w:left w:val="nil"/>
          <w:bottom w:val="nil"/>
          <w:right w:val="nil"/>
          <w:between w:val="nil"/>
        </w:pBdr>
        <w:spacing w:line="276" w:lineRule="auto"/>
      </w:pPr>
    </w:p>
    <w:p w14:paraId="543C5BC4" w14:textId="77777777" w:rsidR="00CD412E" w:rsidRDefault="00CD412E">
      <w:pPr>
        <w:widowControl w:val="0"/>
        <w:pBdr>
          <w:top w:val="nil"/>
          <w:left w:val="nil"/>
          <w:bottom w:val="nil"/>
          <w:right w:val="nil"/>
          <w:between w:val="nil"/>
        </w:pBdr>
        <w:spacing w:line="276" w:lineRule="auto"/>
      </w:pPr>
    </w:p>
    <w:p w14:paraId="543C5BC5" w14:textId="77777777" w:rsidR="00CD412E" w:rsidRDefault="00CD412E">
      <w:pPr>
        <w:widowControl w:val="0"/>
        <w:pBdr>
          <w:top w:val="nil"/>
          <w:left w:val="nil"/>
          <w:bottom w:val="nil"/>
          <w:right w:val="nil"/>
          <w:between w:val="nil"/>
        </w:pBdr>
        <w:spacing w:line="276" w:lineRule="auto"/>
      </w:pPr>
    </w:p>
    <w:p w14:paraId="543C5BC6" w14:textId="77777777" w:rsidR="00CD412E" w:rsidRDefault="00CD412E">
      <w:pPr>
        <w:widowControl w:val="0"/>
        <w:pBdr>
          <w:top w:val="nil"/>
          <w:left w:val="nil"/>
          <w:bottom w:val="nil"/>
          <w:right w:val="nil"/>
          <w:between w:val="nil"/>
        </w:pBdr>
        <w:spacing w:line="276" w:lineRule="auto"/>
      </w:pPr>
    </w:p>
    <w:p w14:paraId="543C5BC7" w14:textId="77777777" w:rsidR="00CD412E" w:rsidRDefault="00CD412E">
      <w:pPr>
        <w:widowControl w:val="0"/>
        <w:pBdr>
          <w:top w:val="nil"/>
          <w:left w:val="nil"/>
          <w:bottom w:val="nil"/>
          <w:right w:val="nil"/>
          <w:between w:val="nil"/>
        </w:pBdr>
        <w:spacing w:line="276" w:lineRule="auto"/>
      </w:pPr>
    </w:p>
    <w:p w14:paraId="543C5BC8" w14:textId="77777777" w:rsidR="00CD412E" w:rsidRDefault="00CD412E">
      <w:pPr>
        <w:widowControl w:val="0"/>
        <w:pBdr>
          <w:top w:val="nil"/>
          <w:left w:val="nil"/>
          <w:bottom w:val="nil"/>
          <w:right w:val="nil"/>
          <w:between w:val="nil"/>
        </w:pBdr>
        <w:spacing w:line="276" w:lineRule="auto"/>
      </w:pPr>
    </w:p>
    <w:p w14:paraId="543C5BC9" w14:textId="77777777" w:rsidR="00CD412E" w:rsidRDefault="00CD412E">
      <w:pPr>
        <w:widowControl w:val="0"/>
        <w:pBdr>
          <w:top w:val="nil"/>
          <w:left w:val="nil"/>
          <w:bottom w:val="nil"/>
          <w:right w:val="nil"/>
          <w:between w:val="nil"/>
        </w:pBdr>
        <w:spacing w:line="276" w:lineRule="auto"/>
      </w:pPr>
    </w:p>
    <w:p w14:paraId="543C5BCA" w14:textId="77777777" w:rsidR="00CD412E" w:rsidRDefault="00CD412E">
      <w:pPr>
        <w:widowControl w:val="0"/>
        <w:pBdr>
          <w:top w:val="nil"/>
          <w:left w:val="nil"/>
          <w:bottom w:val="nil"/>
          <w:right w:val="nil"/>
          <w:between w:val="nil"/>
        </w:pBdr>
        <w:spacing w:line="276" w:lineRule="auto"/>
      </w:pPr>
    </w:p>
    <w:p w14:paraId="543C5BCB" w14:textId="77777777" w:rsidR="00CD412E" w:rsidRDefault="00CD412E">
      <w:pPr>
        <w:widowControl w:val="0"/>
        <w:pBdr>
          <w:top w:val="nil"/>
          <w:left w:val="nil"/>
          <w:bottom w:val="nil"/>
          <w:right w:val="nil"/>
          <w:between w:val="nil"/>
        </w:pBdr>
        <w:spacing w:line="276" w:lineRule="auto"/>
      </w:pPr>
    </w:p>
    <w:p w14:paraId="543C5BCC" w14:textId="77777777" w:rsidR="00CD412E" w:rsidRDefault="00CD412E">
      <w:pPr>
        <w:widowControl w:val="0"/>
        <w:pBdr>
          <w:top w:val="nil"/>
          <w:left w:val="nil"/>
          <w:bottom w:val="nil"/>
          <w:right w:val="nil"/>
          <w:between w:val="nil"/>
        </w:pBdr>
        <w:spacing w:line="276" w:lineRule="auto"/>
      </w:pPr>
    </w:p>
    <w:p w14:paraId="543C5BCD" w14:textId="77777777" w:rsidR="00CD412E" w:rsidRDefault="00CD412E">
      <w:pPr>
        <w:widowControl w:val="0"/>
        <w:pBdr>
          <w:top w:val="nil"/>
          <w:left w:val="nil"/>
          <w:bottom w:val="nil"/>
          <w:right w:val="nil"/>
          <w:between w:val="nil"/>
        </w:pBdr>
        <w:spacing w:line="276" w:lineRule="auto"/>
      </w:pPr>
    </w:p>
    <w:p w14:paraId="543C5BCE" w14:textId="77777777" w:rsidR="00CD412E" w:rsidRDefault="00CD412E">
      <w:pPr>
        <w:widowControl w:val="0"/>
        <w:pBdr>
          <w:top w:val="nil"/>
          <w:left w:val="nil"/>
          <w:bottom w:val="nil"/>
          <w:right w:val="nil"/>
          <w:between w:val="nil"/>
        </w:pBdr>
        <w:spacing w:line="276" w:lineRule="auto"/>
      </w:pPr>
    </w:p>
    <w:p w14:paraId="543C5BCF" w14:textId="77777777" w:rsidR="00CD412E" w:rsidRDefault="00CD412E">
      <w:pPr>
        <w:widowControl w:val="0"/>
        <w:pBdr>
          <w:top w:val="nil"/>
          <w:left w:val="nil"/>
          <w:bottom w:val="nil"/>
          <w:right w:val="nil"/>
          <w:between w:val="nil"/>
        </w:pBdr>
        <w:spacing w:line="276" w:lineRule="auto"/>
      </w:pPr>
    </w:p>
    <w:p w14:paraId="543C5BD0" w14:textId="77777777" w:rsidR="00CD412E" w:rsidRDefault="00CD412E">
      <w:pPr>
        <w:widowControl w:val="0"/>
        <w:pBdr>
          <w:top w:val="nil"/>
          <w:left w:val="nil"/>
          <w:bottom w:val="nil"/>
          <w:right w:val="nil"/>
          <w:between w:val="nil"/>
        </w:pBdr>
        <w:spacing w:line="276" w:lineRule="auto"/>
      </w:pPr>
    </w:p>
    <w:p w14:paraId="543C5BD1" w14:textId="77777777" w:rsidR="00CD412E" w:rsidRDefault="00CD412E">
      <w:pPr>
        <w:widowControl w:val="0"/>
        <w:pBdr>
          <w:top w:val="nil"/>
          <w:left w:val="nil"/>
          <w:bottom w:val="nil"/>
          <w:right w:val="nil"/>
          <w:between w:val="nil"/>
        </w:pBdr>
        <w:spacing w:line="276" w:lineRule="auto"/>
      </w:pPr>
    </w:p>
    <w:p w14:paraId="543C5BD2" w14:textId="77777777" w:rsidR="00CD412E" w:rsidRDefault="00CD412E">
      <w:pPr>
        <w:widowControl w:val="0"/>
        <w:pBdr>
          <w:top w:val="nil"/>
          <w:left w:val="nil"/>
          <w:bottom w:val="nil"/>
          <w:right w:val="nil"/>
          <w:between w:val="nil"/>
        </w:pBdr>
        <w:spacing w:line="276" w:lineRule="auto"/>
      </w:pPr>
    </w:p>
    <w:p w14:paraId="543C5BD3" w14:textId="77777777" w:rsidR="00CD412E" w:rsidRDefault="00CD412E">
      <w:pPr>
        <w:widowControl w:val="0"/>
        <w:pBdr>
          <w:top w:val="nil"/>
          <w:left w:val="nil"/>
          <w:bottom w:val="nil"/>
          <w:right w:val="nil"/>
          <w:between w:val="nil"/>
        </w:pBdr>
        <w:spacing w:line="276" w:lineRule="auto"/>
      </w:pPr>
    </w:p>
    <w:p w14:paraId="543C5BD4" w14:textId="77777777" w:rsidR="00CD412E" w:rsidRDefault="00CD412E">
      <w:pPr>
        <w:widowControl w:val="0"/>
        <w:pBdr>
          <w:top w:val="nil"/>
          <w:left w:val="nil"/>
          <w:bottom w:val="nil"/>
          <w:right w:val="nil"/>
          <w:between w:val="nil"/>
        </w:pBdr>
        <w:spacing w:line="276" w:lineRule="auto"/>
      </w:pPr>
    </w:p>
    <w:p w14:paraId="543C5BD5" w14:textId="77777777" w:rsidR="00CD412E" w:rsidRDefault="00CD412E">
      <w:pPr>
        <w:widowControl w:val="0"/>
        <w:pBdr>
          <w:top w:val="nil"/>
          <w:left w:val="nil"/>
          <w:bottom w:val="nil"/>
          <w:right w:val="nil"/>
          <w:between w:val="nil"/>
        </w:pBdr>
        <w:spacing w:line="276" w:lineRule="auto"/>
      </w:pPr>
    </w:p>
    <w:p w14:paraId="543C5BD6" w14:textId="77777777" w:rsidR="00CD412E" w:rsidRDefault="00CD412E">
      <w:pPr>
        <w:widowControl w:val="0"/>
        <w:pBdr>
          <w:top w:val="nil"/>
          <w:left w:val="nil"/>
          <w:bottom w:val="nil"/>
          <w:right w:val="nil"/>
          <w:between w:val="nil"/>
        </w:pBdr>
        <w:spacing w:line="276" w:lineRule="auto"/>
      </w:pPr>
    </w:p>
    <w:p w14:paraId="543C5BD7" w14:textId="77777777" w:rsidR="00CD412E" w:rsidRDefault="00CD412E">
      <w:pPr>
        <w:widowControl w:val="0"/>
        <w:pBdr>
          <w:top w:val="nil"/>
          <w:left w:val="nil"/>
          <w:bottom w:val="nil"/>
          <w:right w:val="nil"/>
          <w:between w:val="nil"/>
        </w:pBdr>
        <w:spacing w:line="276" w:lineRule="auto"/>
      </w:pPr>
    </w:p>
    <w:p w14:paraId="543C5BD8" w14:textId="77777777" w:rsidR="00CD412E" w:rsidRDefault="00CD412E">
      <w:pPr>
        <w:widowControl w:val="0"/>
        <w:pBdr>
          <w:top w:val="nil"/>
          <w:left w:val="nil"/>
          <w:bottom w:val="nil"/>
          <w:right w:val="nil"/>
          <w:between w:val="nil"/>
        </w:pBdr>
        <w:spacing w:line="276" w:lineRule="auto"/>
      </w:pPr>
    </w:p>
    <w:p w14:paraId="543C5BD9" w14:textId="77777777" w:rsidR="00CD412E" w:rsidRDefault="00CD412E">
      <w:pPr>
        <w:widowControl w:val="0"/>
        <w:pBdr>
          <w:top w:val="nil"/>
          <w:left w:val="nil"/>
          <w:bottom w:val="nil"/>
          <w:right w:val="nil"/>
          <w:between w:val="nil"/>
        </w:pBdr>
        <w:spacing w:line="276" w:lineRule="auto"/>
      </w:pPr>
    </w:p>
    <w:p w14:paraId="543C5BDA" w14:textId="77777777" w:rsidR="00CD412E" w:rsidRDefault="00CD412E">
      <w:pPr>
        <w:widowControl w:val="0"/>
        <w:pBdr>
          <w:top w:val="nil"/>
          <w:left w:val="nil"/>
          <w:bottom w:val="nil"/>
          <w:right w:val="nil"/>
          <w:between w:val="nil"/>
        </w:pBdr>
        <w:spacing w:line="276" w:lineRule="auto"/>
      </w:pPr>
    </w:p>
    <w:p w14:paraId="543C5BDB" w14:textId="77777777" w:rsidR="00CD412E" w:rsidRDefault="00CD412E">
      <w:pPr>
        <w:widowControl w:val="0"/>
        <w:pBdr>
          <w:top w:val="nil"/>
          <w:left w:val="nil"/>
          <w:bottom w:val="nil"/>
          <w:right w:val="nil"/>
          <w:between w:val="nil"/>
        </w:pBdr>
        <w:spacing w:line="276" w:lineRule="auto"/>
      </w:pPr>
    </w:p>
    <w:p w14:paraId="543C5BDC" w14:textId="77777777" w:rsidR="00CD412E" w:rsidRDefault="00CD412E">
      <w:pPr>
        <w:widowControl w:val="0"/>
        <w:pBdr>
          <w:top w:val="nil"/>
          <w:left w:val="nil"/>
          <w:bottom w:val="nil"/>
          <w:right w:val="nil"/>
          <w:between w:val="nil"/>
        </w:pBdr>
        <w:spacing w:line="276" w:lineRule="auto"/>
      </w:pPr>
    </w:p>
    <w:p w14:paraId="543C5BDD" w14:textId="77777777" w:rsidR="00CD412E" w:rsidRDefault="00CD412E">
      <w:pPr>
        <w:widowControl w:val="0"/>
        <w:pBdr>
          <w:top w:val="nil"/>
          <w:left w:val="nil"/>
          <w:bottom w:val="nil"/>
          <w:right w:val="nil"/>
          <w:between w:val="nil"/>
        </w:pBdr>
        <w:spacing w:line="276" w:lineRule="auto"/>
      </w:pPr>
    </w:p>
    <w:p w14:paraId="543C5BDE" w14:textId="77777777" w:rsidR="00CD412E" w:rsidRDefault="00CD412E">
      <w:pPr>
        <w:widowControl w:val="0"/>
        <w:pBdr>
          <w:top w:val="nil"/>
          <w:left w:val="nil"/>
          <w:bottom w:val="nil"/>
          <w:right w:val="nil"/>
          <w:between w:val="nil"/>
        </w:pBdr>
        <w:spacing w:line="276" w:lineRule="auto"/>
      </w:pPr>
    </w:p>
    <w:p w14:paraId="543C5BDF" w14:textId="77777777" w:rsidR="00CD412E" w:rsidRDefault="00CD412E">
      <w:pPr>
        <w:widowControl w:val="0"/>
        <w:pBdr>
          <w:top w:val="nil"/>
          <w:left w:val="nil"/>
          <w:bottom w:val="nil"/>
          <w:right w:val="nil"/>
          <w:between w:val="nil"/>
        </w:pBdr>
        <w:spacing w:line="276" w:lineRule="auto"/>
      </w:pPr>
    </w:p>
    <w:p w14:paraId="543C5BE0" w14:textId="77777777" w:rsidR="00CD412E" w:rsidRDefault="00CD412E">
      <w:pPr>
        <w:widowControl w:val="0"/>
        <w:pBdr>
          <w:top w:val="nil"/>
          <w:left w:val="nil"/>
          <w:bottom w:val="nil"/>
          <w:right w:val="nil"/>
          <w:between w:val="nil"/>
        </w:pBdr>
        <w:spacing w:line="276" w:lineRule="auto"/>
      </w:pPr>
    </w:p>
    <w:p w14:paraId="543C5BE1" w14:textId="77777777" w:rsidR="00CD412E" w:rsidRDefault="00CD412E">
      <w:pPr>
        <w:widowControl w:val="0"/>
        <w:pBdr>
          <w:top w:val="nil"/>
          <w:left w:val="nil"/>
          <w:bottom w:val="nil"/>
          <w:right w:val="nil"/>
          <w:between w:val="nil"/>
        </w:pBdr>
        <w:spacing w:line="276" w:lineRule="auto"/>
      </w:pPr>
    </w:p>
    <w:p w14:paraId="543C5BE2" w14:textId="77777777" w:rsidR="00CD412E" w:rsidRDefault="00CD412E">
      <w:pPr>
        <w:widowControl w:val="0"/>
        <w:pBdr>
          <w:top w:val="nil"/>
          <w:left w:val="nil"/>
          <w:bottom w:val="nil"/>
          <w:right w:val="nil"/>
          <w:between w:val="nil"/>
        </w:pBdr>
        <w:spacing w:line="276" w:lineRule="auto"/>
      </w:pPr>
    </w:p>
    <w:p w14:paraId="543C5BE3" w14:textId="77777777" w:rsidR="00CD412E" w:rsidRDefault="00CD412E">
      <w:pPr>
        <w:widowControl w:val="0"/>
        <w:pBdr>
          <w:top w:val="nil"/>
          <w:left w:val="nil"/>
          <w:bottom w:val="nil"/>
          <w:right w:val="nil"/>
          <w:between w:val="nil"/>
        </w:pBdr>
        <w:spacing w:line="276" w:lineRule="auto"/>
      </w:pPr>
    </w:p>
    <w:p w14:paraId="543C5BE4" w14:textId="77777777" w:rsidR="00CD412E" w:rsidRDefault="00CD412E">
      <w:pPr>
        <w:widowControl w:val="0"/>
        <w:pBdr>
          <w:top w:val="nil"/>
          <w:left w:val="nil"/>
          <w:bottom w:val="nil"/>
          <w:right w:val="nil"/>
          <w:between w:val="nil"/>
        </w:pBdr>
        <w:spacing w:line="276" w:lineRule="auto"/>
      </w:pPr>
    </w:p>
    <w:p w14:paraId="6684BF21" w14:textId="77777777" w:rsidR="00A2739D" w:rsidRDefault="00A2739D">
      <w:pPr>
        <w:spacing w:before="8040" w:after="100" w:line="276" w:lineRule="auto"/>
        <w:ind w:left="480" w:right="480"/>
        <w:jc w:val="both"/>
      </w:pPr>
    </w:p>
    <w:p w14:paraId="543C5BE5" w14:textId="539A6E42" w:rsidR="00CD412E" w:rsidRDefault="00C24B66">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543C5BE7" wp14:editId="543C5BE8">
            <wp:simplePos x="0" y="0"/>
            <wp:positionH relativeFrom="column">
              <wp:posOffset>304800</wp:posOffset>
            </wp:positionH>
            <wp:positionV relativeFrom="paragraph">
              <wp:posOffset>4714875</wp:posOffset>
            </wp:positionV>
            <wp:extent cx="1552575" cy="19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543C5BE6" w14:textId="77777777" w:rsidR="00CD412E" w:rsidRDefault="00C24B66">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CD412E">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B7E85A" w14:textId="77777777" w:rsidR="00C24B66" w:rsidRDefault="00C24B66">
      <w:r>
        <w:separator/>
      </w:r>
    </w:p>
  </w:endnote>
  <w:endnote w:type="continuationSeparator" w:id="0">
    <w:p w14:paraId="0AF5ED06" w14:textId="77777777" w:rsidR="00C24B66" w:rsidRDefault="00C2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8B92894-7972-8949-98DE-3DCE70B4B38D}"/>
  </w:font>
  <w:font w:name="Montserrat">
    <w:panose1 w:val="00000000000000000000"/>
    <w:charset w:val="4D"/>
    <w:family w:val="auto"/>
    <w:pitch w:val="variable"/>
    <w:sig w:usb0="A00002FF" w:usb1="4000207B" w:usb2="00000000" w:usb3="00000000" w:csb0="00000197" w:csb1="00000000"/>
    <w:embedRegular r:id="rId2" w:fontKey="{7924DCE5-07BA-BA46-9304-B8C2217BF852}"/>
    <w:embedBold r:id="rId3" w:fontKey="{6C9C2C65-374D-8B46-B457-5784EC790DE7}"/>
    <w:embedItalic r:id="rId4" w:fontKey="{80972C01-56E9-A646-B418-526429820BBF}"/>
  </w:font>
  <w:font w:name="Georgia">
    <w:panose1 w:val="02040502050405020303"/>
    <w:charset w:val="00"/>
    <w:family w:val="roman"/>
    <w:pitch w:val="variable"/>
    <w:sig w:usb0="00000287" w:usb1="00000000" w:usb2="00000000" w:usb3="00000000" w:csb0="0000009F" w:csb1="00000000"/>
    <w:embedItalic r:id="rId5" w:fontKey="{AEF224F7-F3C2-8640-9FF2-2315ED9F236E}"/>
  </w:font>
  <w:font w:name="Calibri">
    <w:panose1 w:val="020F0502020204030204"/>
    <w:charset w:val="00"/>
    <w:family w:val="swiss"/>
    <w:pitch w:val="variable"/>
    <w:sig w:usb0="E4002EFF" w:usb1="C200247B" w:usb2="00000009" w:usb3="00000000" w:csb0="000001FF" w:csb1="00000000"/>
    <w:embedRegular r:id="rId6" w:fontKey="{14E080EF-5D13-9E40-A2A1-DE43EBA5E69E}"/>
  </w:font>
  <w:font w:name="Cambria">
    <w:panose1 w:val="02040503050406030204"/>
    <w:charset w:val="00"/>
    <w:family w:val="roman"/>
    <w:pitch w:val="variable"/>
    <w:sig w:usb0="E00006FF" w:usb1="420024FF" w:usb2="02000000" w:usb3="00000000" w:csb0="0000019F" w:csb1="00000000"/>
    <w:embedRegular r:id="rId7" w:fontKey="{576E732C-E267-F343-B927-DAEA41EC2D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3C5BEA" w14:textId="77777777" w:rsidR="00CD412E" w:rsidRDefault="00C24B66">
    <w:pPr>
      <w:pBdr>
        <w:top w:val="single" w:sz="8" w:space="4" w:color="1291D1"/>
      </w:pBdr>
      <w:spacing w:after="60"/>
      <w:jc w:val="center"/>
    </w:pPr>
    <w:r>
      <w:rPr>
        <w:noProof/>
      </w:rPr>
      <w:drawing>
        <wp:inline distT="0" distB="0" distL="0" distR="0" wp14:anchorId="543C5BEE" wp14:editId="543C5BEF">
          <wp:extent cx="1809750" cy="400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43C5BEB" w14:textId="77777777" w:rsidR="00CD412E" w:rsidRDefault="00C24B66">
    <w:pPr>
      <w:spacing w:before="40"/>
      <w:jc w:val="center"/>
      <w:rPr>
        <w:b/>
        <w:bCs/>
        <w:color w:val="ED008C"/>
      </w:rPr>
    </w:pPr>
    <w:r>
      <w:rPr>
        <w:b/>
        <w:bCs/>
        <w:color w:val="1291D1"/>
      </w:rPr>
      <w:t>www.safe-spaces.eu</w:t>
    </w:r>
    <w:r>
      <w:rPr>
        <w:color w:val="1291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CBC4A7" w14:textId="77777777" w:rsidR="00C24B66" w:rsidRDefault="00C24B66">
      <w:r>
        <w:separator/>
      </w:r>
    </w:p>
  </w:footnote>
  <w:footnote w:type="continuationSeparator" w:id="0">
    <w:p w14:paraId="32A055C2" w14:textId="77777777" w:rsidR="00C24B66" w:rsidRDefault="00C2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3C5BE9" w14:textId="77777777" w:rsidR="00CD412E" w:rsidRDefault="00C24B66">
    <w:pPr>
      <w:pBdr>
        <w:bottom w:val="single" w:sz="8" w:space="4" w:color="1291D1"/>
      </w:pBdr>
      <w:spacing w:after="80"/>
    </w:pPr>
    <w:r>
      <w:rPr>
        <w:noProof/>
      </w:rPr>
      <w:drawing>
        <wp:inline distT="0" distB="0" distL="0" distR="0" wp14:anchorId="543C5BEC" wp14:editId="543C5BED">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C65123"/>
    <w:multiLevelType w:val="multilevel"/>
    <w:tmpl w:val="E3FC0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A954D1"/>
    <w:multiLevelType w:val="multilevel"/>
    <w:tmpl w:val="39B8C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8911A4"/>
    <w:multiLevelType w:val="multilevel"/>
    <w:tmpl w:val="0A662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1488C"/>
    <w:multiLevelType w:val="multilevel"/>
    <w:tmpl w:val="BFEEB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A92382"/>
    <w:multiLevelType w:val="multilevel"/>
    <w:tmpl w:val="E954D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2081608">
    <w:abstractNumId w:val="2"/>
  </w:num>
  <w:num w:numId="2" w16cid:durableId="752362698">
    <w:abstractNumId w:val="4"/>
  </w:num>
  <w:num w:numId="3" w16cid:durableId="6952835">
    <w:abstractNumId w:val="1"/>
  </w:num>
  <w:num w:numId="4" w16cid:durableId="388266047">
    <w:abstractNumId w:val="0"/>
  </w:num>
  <w:num w:numId="5" w16cid:durableId="8376464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2E"/>
    <w:rsid w:val="00A2739D"/>
    <w:rsid w:val="00C24B66"/>
    <w:rsid w:val="00CD412E"/>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43C5B5F"/>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Y4rl4V67E41iOg/+ZlUl3A8/yQ==">CgMxLjA4AHIhMUZyWmdORGdmOWxhS3hfbG1STXF2R3lHVEQyNUJ2VHU3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1122</Words>
  <Characters>6401</Characters>
  <Application>Microsoft Office Word</Application>
  <DocSecurity>0</DocSecurity>
  <Lines>53</Lines>
  <Paragraphs>15</Paragraphs>
  <ScaleCrop>false</ScaleCrop>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2026-08-26T16:42:00Z</dcterms:created>
  <dcterms:modified xsi:type="dcterms:W3CDTF">2026-08-26T16:45:00Z</dcterms:modified>
</cp:coreProperties>
</file>